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C326B" w14:textId="09C8B287" w:rsidR="007C71CF" w:rsidRPr="00722811" w:rsidRDefault="00FE4AEE" w:rsidP="006D31B7">
      <w:pPr>
        <w:pStyle w:val="Name"/>
        <w:rPr>
          <w:caps w:val="0"/>
          <w:szCs w:val="24"/>
        </w:rPr>
      </w:pPr>
      <w:r>
        <w:rPr>
          <w:szCs w:val="24"/>
        </w:rPr>
        <w:t>Tom</w:t>
      </w:r>
      <w:r w:rsidR="007C71CF" w:rsidRPr="00722811">
        <w:rPr>
          <w:szCs w:val="24"/>
        </w:rPr>
        <w:t xml:space="preserve"> Scott</w:t>
      </w:r>
      <w:r w:rsidR="006D31B7">
        <w:rPr>
          <w:szCs w:val="24"/>
        </w:rPr>
        <w:tab/>
      </w:r>
      <w:r w:rsidR="006D31B7">
        <w:rPr>
          <w:szCs w:val="24"/>
        </w:rPr>
        <w:tab/>
      </w:r>
      <w:r w:rsidR="006D31B7">
        <w:rPr>
          <w:szCs w:val="24"/>
        </w:rPr>
        <w:tab/>
      </w:r>
      <w:r w:rsidR="006D31B7">
        <w:rPr>
          <w:szCs w:val="24"/>
        </w:rPr>
        <w:tab/>
      </w:r>
      <w:r w:rsidR="006D31B7">
        <w:rPr>
          <w:szCs w:val="24"/>
        </w:rPr>
        <w:tab/>
      </w:r>
      <w:r w:rsidR="006D31B7">
        <w:rPr>
          <w:szCs w:val="24"/>
        </w:rPr>
        <w:tab/>
      </w:r>
      <w:r w:rsidR="006D31B7">
        <w:rPr>
          <w:szCs w:val="24"/>
        </w:rPr>
        <w:tab/>
      </w:r>
      <w:r w:rsidR="006D31B7">
        <w:rPr>
          <w:szCs w:val="24"/>
        </w:rPr>
        <w:tab/>
        <w:t xml:space="preserve">     Sep 2025</w:t>
      </w:r>
    </w:p>
    <w:p w14:paraId="4237310D" w14:textId="77777777" w:rsidR="007C71CF" w:rsidRPr="00722811" w:rsidRDefault="007C71CF" w:rsidP="009D25C7">
      <w:pPr>
        <w:pStyle w:val="R-2h"/>
        <w:autoSpaceDE w:val="0"/>
        <w:autoSpaceDN w:val="0"/>
        <w:adjustRightInd w:val="0"/>
        <w:rPr>
          <w:szCs w:val="24"/>
        </w:rPr>
      </w:pPr>
      <w:r w:rsidRPr="00722811">
        <w:rPr>
          <w:szCs w:val="24"/>
        </w:rPr>
        <w:t>Summary of Professional Experience</w:t>
      </w:r>
    </w:p>
    <w:p w14:paraId="4C6CA530" w14:textId="7ECBCB89" w:rsidR="00AF13EF" w:rsidRPr="00722811" w:rsidRDefault="00730759" w:rsidP="009D25C7">
      <w:pPr>
        <w:pStyle w:val="R-Text"/>
        <w:autoSpaceDE w:val="0"/>
        <w:autoSpaceDN w:val="0"/>
        <w:adjustRightInd w:val="0"/>
      </w:pPr>
      <w:r>
        <w:t xml:space="preserve">Dr. Scott </w:t>
      </w:r>
      <w:r w:rsidR="00AF13EF">
        <w:t>partner</w:t>
      </w:r>
      <w:r w:rsidR="000C70C3">
        <w:t>s</w:t>
      </w:r>
      <w:r w:rsidR="00AF13EF">
        <w:t xml:space="preserve"> with law enforcement agencies </w:t>
      </w:r>
      <w:r w:rsidR="000C70C3">
        <w:t xml:space="preserve">and community organizations </w:t>
      </w:r>
      <w:r w:rsidR="00AF13EF">
        <w:t>to</w:t>
      </w:r>
      <w:r w:rsidR="000C70C3">
        <w:t xml:space="preserve"> advance data-driven practices and to</w:t>
      </w:r>
      <w:r w:rsidR="00AF13EF">
        <w:t xml:space="preserve"> conduct research on crime </w:t>
      </w:r>
      <w:r w:rsidR="000C70C3">
        <w:t xml:space="preserve">prevention, criminal </w:t>
      </w:r>
      <w:r w:rsidR="00AF13EF">
        <w:t>investigations</w:t>
      </w:r>
      <w:r w:rsidR="000C70C3">
        <w:t>,</w:t>
      </w:r>
      <w:r w:rsidR="00AF13EF">
        <w:t xml:space="preserve"> and gun</w:t>
      </w:r>
      <w:r w:rsidR="000C70C3">
        <w:t xml:space="preserve"> violence</w:t>
      </w:r>
      <w:r w:rsidR="00AF13EF">
        <w:t xml:space="preserve">. </w:t>
      </w:r>
      <w:r w:rsidR="00F755A5">
        <w:t>He has developed expertise in the fields of criminology, policing, evaluation design, and data analysis</w:t>
      </w:r>
      <w:r w:rsidR="00797E2C">
        <w:t xml:space="preserve">. He </w:t>
      </w:r>
      <w:r w:rsidR="00FE4AEE">
        <w:t>uses</w:t>
      </w:r>
      <w:r w:rsidR="00797E2C">
        <w:t xml:space="preserve"> this expertise to improve society by </w:t>
      </w:r>
      <w:r w:rsidR="2B64B6CF">
        <w:t xml:space="preserve">testing the effects of crime prevention programs and policies, </w:t>
      </w:r>
      <w:r w:rsidR="00797E2C">
        <w:t>promoting efficacy</w:t>
      </w:r>
      <w:r w:rsidR="002B4E2C">
        <w:t xml:space="preserve">, </w:t>
      </w:r>
      <w:r w:rsidR="00797E2C">
        <w:t>efficiency</w:t>
      </w:r>
      <w:r w:rsidR="002B4E2C">
        <w:t>, and equity</w:t>
      </w:r>
      <w:r w:rsidR="00797E2C">
        <w:t xml:space="preserve"> in </w:t>
      </w:r>
      <w:r w:rsidR="1E6E0789">
        <w:t xml:space="preserve">criminal justice and crime prevention </w:t>
      </w:r>
      <w:r w:rsidR="42616D63">
        <w:t>programs</w:t>
      </w:r>
      <w:r w:rsidR="00797E2C">
        <w:t xml:space="preserve">, </w:t>
      </w:r>
      <w:r w:rsidR="1EB37B86">
        <w:t xml:space="preserve">and </w:t>
      </w:r>
      <w:r w:rsidR="00797E2C">
        <w:t>translating evaluation methods to practitioners</w:t>
      </w:r>
      <w:r w:rsidR="3B0E42FD">
        <w:t>.</w:t>
      </w:r>
      <w:r w:rsidR="00797E2C">
        <w:t xml:space="preserve"> </w:t>
      </w:r>
    </w:p>
    <w:p w14:paraId="6CA082BE" w14:textId="77777777" w:rsidR="007C71CF" w:rsidRPr="00722811" w:rsidRDefault="007C71CF" w:rsidP="009D25C7">
      <w:pPr>
        <w:pStyle w:val="R-2h"/>
        <w:autoSpaceDE w:val="0"/>
        <w:autoSpaceDN w:val="0"/>
        <w:adjustRightInd w:val="0"/>
        <w:rPr>
          <w:szCs w:val="24"/>
        </w:rPr>
      </w:pPr>
      <w:r w:rsidRPr="00722811">
        <w:rPr>
          <w:szCs w:val="24"/>
        </w:rPr>
        <w:t>Education</w:t>
      </w:r>
    </w:p>
    <w:p w14:paraId="64C49D7F" w14:textId="27B5DFC3" w:rsidR="007C71CF" w:rsidRPr="00722811" w:rsidRDefault="007C71CF" w:rsidP="009D25C7">
      <w:pPr>
        <w:pStyle w:val="R-Indent"/>
        <w:autoSpaceDE w:val="0"/>
        <w:autoSpaceDN w:val="0"/>
        <w:adjustRightInd w:val="0"/>
        <w:rPr>
          <w:szCs w:val="24"/>
        </w:rPr>
      </w:pPr>
      <w:r w:rsidRPr="00722811">
        <w:rPr>
          <w:szCs w:val="24"/>
        </w:rPr>
        <w:t>PhD</w:t>
      </w:r>
      <w:r w:rsidR="0067761D" w:rsidRPr="00722811">
        <w:rPr>
          <w:szCs w:val="24"/>
        </w:rPr>
        <w:t xml:space="preserve">, </w:t>
      </w:r>
      <w:r w:rsidRPr="00722811">
        <w:rPr>
          <w:szCs w:val="24"/>
        </w:rPr>
        <w:t xml:space="preserve">Criminology &amp; Criminal Justice, University of Maryland, College Park, </w:t>
      </w:r>
      <w:r w:rsidRPr="005A21FA">
        <w:rPr>
          <w:szCs w:val="24"/>
        </w:rPr>
        <w:t>MD</w:t>
      </w:r>
      <w:r w:rsidRPr="00722811">
        <w:rPr>
          <w:szCs w:val="24"/>
        </w:rPr>
        <w:t xml:space="preserve">, </w:t>
      </w:r>
      <w:r w:rsidR="002134BC" w:rsidRPr="00722811">
        <w:rPr>
          <w:szCs w:val="24"/>
        </w:rPr>
        <w:t>202</w:t>
      </w:r>
      <w:r w:rsidR="0067761D" w:rsidRPr="00722811">
        <w:rPr>
          <w:szCs w:val="24"/>
        </w:rPr>
        <w:t>2</w:t>
      </w:r>
      <w:r w:rsidRPr="00722811">
        <w:rPr>
          <w:szCs w:val="24"/>
        </w:rPr>
        <w:t>.</w:t>
      </w:r>
    </w:p>
    <w:p w14:paraId="65DAEF52" w14:textId="75EB1E39" w:rsidR="007C71CF" w:rsidRPr="00722811" w:rsidRDefault="007C71CF" w:rsidP="009D25C7">
      <w:pPr>
        <w:pStyle w:val="R-Indent"/>
        <w:autoSpaceDE w:val="0"/>
        <w:autoSpaceDN w:val="0"/>
        <w:adjustRightInd w:val="0"/>
        <w:rPr>
          <w:szCs w:val="24"/>
        </w:rPr>
      </w:pPr>
      <w:r w:rsidRPr="005A21FA">
        <w:rPr>
          <w:szCs w:val="24"/>
        </w:rPr>
        <w:t>MA</w:t>
      </w:r>
      <w:r w:rsidRPr="00722811">
        <w:rPr>
          <w:szCs w:val="24"/>
        </w:rPr>
        <w:t>, Criminology &amp; Criminal Justice, University of Maryland, College Park, MD, 2015.</w:t>
      </w:r>
    </w:p>
    <w:p w14:paraId="1B1C02FE" w14:textId="21F94356" w:rsidR="007C71CF" w:rsidRPr="00722811" w:rsidRDefault="007C71CF" w:rsidP="009D25C7">
      <w:pPr>
        <w:pStyle w:val="R-Indent"/>
        <w:autoSpaceDE w:val="0"/>
        <w:autoSpaceDN w:val="0"/>
        <w:adjustRightInd w:val="0"/>
        <w:rPr>
          <w:szCs w:val="24"/>
        </w:rPr>
      </w:pPr>
      <w:r w:rsidRPr="00722811">
        <w:rPr>
          <w:szCs w:val="24"/>
        </w:rPr>
        <w:t xml:space="preserve">BA, Psychology, Saint Louis University, Saint Louis, </w:t>
      </w:r>
      <w:r w:rsidRPr="005A21FA">
        <w:rPr>
          <w:szCs w:val="24"/>
        </w:rPr>
        <w:t>MO</w:t>
      </w:r>
      <w:r w:rsidRPr="00722811">
        <w:rPr>
          <w:szCs w:val="24"/>
        </w:rPr>
        <w:t>, 2012.</w:t>
      </w:r>
    </w:p>
    <w:p w14:paraId="657489AB" w14:textId="0756117D" w:rsidR="00164BA1" w:rsidRPr="00722811" w:rsidRDefault="007C71CF" w:rsidP="00730759">
      <w:pPr>
        <w:pStyle w:val="R-2h"/>
        <w:autoSpaceDE w:val="0"/>
        <w:autoSpaceDN w:val="0"/>
        <w:adjustRightInd w:val="0"/>
      </w:pPr>
      <w:r>
        <w:t>Selected Project Experience</w:t>
      </w:r>
    </w:p>
    <w:p w14:paraId="1AECA379" w14:textId="222289E9" w:rsidR="00B925F2" w:rsidRPr="00B54371" w:rsidRDefault="00B925F2" w:rsidP="63333E84">
      <w:pPr>
        <w:pStyle w:val="R-Text"/>
      </w:pPr>
      <w:r>
        <w:rPr>
          <w:b/>
          <w:bCs/>
          <w:i/>
          <w:iCs/>
        </w:rPr>
        <w:t>Participation in the Criminal Legal System by Witnesses of Violent Crime</w:t>
      </w:r>
      <w:r>
        <w:t xml:space="preserve"> (</w:t>
      </w:r>
      <w:r w:rsidR="008D6B1B">
        <w:t>2023</w:t>
      </w:r>
      <w:r>
        <w:t xml:space="preserve"> to </w:t>
      </w:r>
      <w:r w:rsidR="008D6B1B">
        <w:t>2025</w:t>
      </w:r>
      <w:r>
        <w:t xml:space="preserve">)—Principal Investigator. </w:t>
      </w:r>
      <w:r w:rsidR="000C0F4C">
        <w:t>Obtained funding from</w:t>
      </w:r>
      <w:r>
        <w:t xml:space="preserve"> Arnold Ventures to understand the factors </w:t>
      </w:r>
      <w:r w:rsidR="000C0F4C">
        <w:t>that impact victim and</w:t>
      </w:r>
      <w:r>
        <w:t xml:space="preserve"> witness participation in the criminal legal system and to develop surveys for police departments and state prosecutors’ offices that measure factors related to witness participation. Project partners include Temple University, AEquitas, and several </w:t>
      </w:r>
      <w:r w:rsidR="000C0F4C">
        <w:t xml:space="preserve">community-based </w:t>
      </w:r>
      <w:r>
        <w:t xml:space="preserve">consultants. </w:t>
      </w:r>
      <w:proofErr w:type="gramStart"/>
      <w:r>
        <w:t>Oversees</w:t>
      </w:r>
      <w:proofErr w:type="gramEnd"/>
      <w:r>
        <w:t xml:space="preserve"> every aspect of the project.</w:t>
      </w:r>
    </w:p>
    <w:p w14:paraId="4ED47E16" w14:textId="482F5F12" w:rsidR="00164BA1" w:rsidRPr="00722811" w:rsidRDefault="00164BA1" w:rsidP="00730759">
      <w:pPr>
        <w:pStyle w:val="R-Text"/>
      </w:pPr>
      <w:r w:rsidRPr="00722811">
        <w:rPr>
          <w:b/>
          <w:i/>
        </w:rPr>
        <w:t>National Case Closed Project</w:t>
      </w:r>
      <w:r w:rsidRPr="00722811">
        <w:t xml:space="preserve"> (2022 to </w:t>
      </w:r>
      <w:r w:rsidR="008D6B1B">
        <w:t>2025</w:t>
      </w:r>
      <w:r w:rsidRPr="00722811">
        <w:t>)—</w:t>
      </w:r>
      <w:r w:rsidRPr="00722811">
        <w:rPr>
          <w:i/>
          <w:iCs/>
        </w:rPr>
        <w:t>Co-Principal Investigator</w:t>
      </w:r>
      <w:r w:rsidRPr="00722811">
        <w:t xml:space="preserve">. This project provides needs assessments and follow-on technical assistance to law enforcement agencies that have experienced a recent increase in violent crime and </w:t>
      </w:r>
      <w:r w:rsidR="00730759" w:rsidRPr="00722811">
        <w:t xml:space="preserve">that </w:t>
      </w:r>
      <w:r w:rsidRPr="00722811">
        <w:t xml:space="preserve">solve a relatively low proportion of these crimes. </w:t>
      </w:r>
      <w:proofErr w:type="gramStart"/>
      <w:r w:rsidR="00730759" w:rsidRPr="00722811">
        <w:t>O</w:t>
      </w:r>
      <w:r w:rsidRPr="00722811">
        <w:t>versee</w:t>
      </w:r>
      <w:r w:rsidR="00730759" w:rsidRPr="00722811">
        <w:t>s</w:t>
      </w:r>
      <w:proofErr w:type="gramEnd"/>
      <w:r w:rsidRPr="00722811">
        <w:t xml:space="preserve"> every aspect of the project and </w:t>
      </w:r>
      <w:proofErr w:type="gramStart"/>
      <w:r w:rsidRPr="00722811">
        <w:t>contribute</w:t>
      </w:r>
      <w:r w:rsidR="00730759" w:rsidRPr="00722811">
        <w:t>s</w:t>
      </w:r>
      <w:proofErr w:type="gramEnd"/>
      <w:r w:rsidRPr="00722811">
        <w:t xml:space="preserve"> directly to data collection and analysis.  </w:t>
      </w:r>
    </w:p>
    <w:p w14:paraId="60A8F187" w14:textId="51F5D0A3" w:rsidR="008D6B1B" w:rsidRDefault="008D6B1B" w:rsidP="00730759">
      <w:pPr>
        <w:pStyle w:val="R-Text"/>
      </w:pPr>
      <w:r w:rsidRPr="63333E84">
        <w:rPr>
          <w:b/>
          <w:bCs/>
          <w:i/>
          <w:iCs/>
        </w:rPr>
        <w:t>Community-based Violence Intervention and Prevention Initiative Evaluation</w:t>
      </w:r>
      <w:r w:rsidRPr="00E90009">
        <w:rPr>
          <w:b/>
          <w:bCs/>
        </w:rPr>
        <w:t xml:space="preserve"> </w:t>
      </w:r>
      <w:r w:rsidRPr="00E90009">
        <w:t xml:space="preserve">(2023 to </w:t>
      </w:r>
      <w:r>
        <w:t>2025</w:t>
      </w:r>
      <w:r w:rsidRPr="00E90009">
        <w:t>)—</w:t>
      </w:r>
      <w:r w:rsidRPr="00D95F7B">
        <w:rPr>
          <w:i/>
          <w:iCs/>
        </w:rPr>
        <w:t>Outcome Evaluation Lead</w:t>
      </w:r>
      <w:r w:rsidRPr="63333E84">
        <w:t xml:space="preserve">. </w:t>
      </w:r>
      <w:r w:rsidRPr="00D95F7B">
        <w:rPr>
          <w:szCs w:val="22"/>
        </w:rPr>
        <w:t>RTI was funded by the National Institute of Justice (</w:t>
      </w:r>
      <w:r w:rsidRPr="005A21FA">
        <w:rPr>
          <w:szCs w:val="22"/>
        </w:rPr>
        <w:t>NIJ</w:t>
      </w:r>
      <w:r w:rsidRPr="00D95F7B">
        <w:rPr>
          <w:szCs w:val="22"/>
        </w:rPr>
        <w:t xml:space="preserve">) to conduct an </w:t>
      </w:r>
      <w:r w:rsidRPr="00D95F7B">
        <w:t>independent evaluation of the outcomes and impacts of the community-based violence intervention program being implemented in Greensboro, NC</w:t>
      </w:r>
      <w:r>
        <w:t>,</w:t>
      </w:r>
      <w:r w:rsidRPr="00D95F7B">
        <w:t xml:space="preserve"> and funded under the FY 2022 </w:t>
      </w:r>
      <w:r w:rsidRPr="005A21FA">
        <w:t xml:space="preserve">OJP </w:t>
      </w:r>
      <w:r w:rsidRPr="00D95F7B">
        <w:t>Community Violence Intervention and Prevention Initiative. The program, called Community Connectors, is facilitated by the Greensboro Police Department’s Office of Community Engagement.</w:t>
      </w:r>
      <w:r>
        <w:t xml:space="preserve"> Leads data collection and analysis for the individual- and community-level outcome evaluation.</w:t>
      </w:r>
    </w:p>
    <w:p w14:paraId="388798CA" w14:textId="455B7F23" w:rsidR="008D6B1B" w:rsidRPr="008D6B1B" w:rsidRDefault="008D6B1B" w:rsidP="00730759">
      <w:pPr>
        <w:pStyle w:val="R-Text"/>
      </w:pPr>
      <w:r w:rsidRPr="00722811">
        <w:rPr>
          <w:b/>
          <w:i/>
        </w:rPr>
        <w:t xml:space="preserve">Evaluation of Project Safe Neighborhoods </w:t>
      </w:r>
      <w:r w:rsidRPr="00722811">
        <w:t xml:space="preserve">(2020 to </w:t>
      </w:r>
      <w:r>
        <w:t>2025</w:t>
      </w:r>
      <w:r w:rsidRPr="00722811">
        <w:t>)—</w:t>
      </w:r>
      <w:r w:rsidRPr="00722811">
        <w:rPr>
          <w:i/>
          <w:iCs/>
        </w:rPr>
        <w:t>Research Analyst and Site Coordinator</w:t>
      </w:r>
      <w:r w:rsidRPr="00722811">
        <w:t>. Funded by the NIJ, this project is a multilevel evaluation of the Project Safe Neighborhoods (</w:t>
      </w:r>
      <w:r w:rsidRPr="005A21FA">
        <w:t>PSN</w:t>
      </w:r>
      <w:r w:rsidRPr="00722811">
        <w:t xml:space="preserve">) initiative, which entails partnerships among criminal justice agencies to develop and implement strategic responses to reduce violent crime (particularly gun crime) in 94 U.S. Attorney districts. The evaluation includes a national assessment to produce an estimate of broad effects of PSN on violent crime and 8–10 site-level evaluations to provide detailed analysis of local PSN efforts and outcomes. Supports data analysis and leads the evaluation of the Eastern Missouri site.  </w:t>
      </w:r>
    </w:p>
    <w:p w14:paraId="2017A359" w14:textId="57D2FF42" w:rsidR="000C70C3" w:rsidRPr="00722811" w:rsidRDefault="00573950" w:rsidP="00730759">
      <w:pPr>
        <w:pStyle w:val="R-Text"/>
      </w:pPr>
      <w:r w:rsidRPr="00722811">
        <w:rPr>
          <w:b/>
          <w:i/>
        </w:rPr>
        <w:t xml:space="preserve">FY2021 </w:t>
      </w:r>
      <w:r w:rsidR="000C70C3" w:rsidRPr="00722811">
        <w:rPr>
          <w:b/>
          <w:i/>
        </w:rPr>
        <w:t>Census of Law Enforcement Training Academies (</w:t>
      </w:r>
      <w:r w:rsidR="000C70C3" w:rsidRPr="005A21FA">
        <w:rPr>
          <w:b/>
          <w:i/>
        </w:rPr>
        <w:t>CLETA</w:t>
      </w:r>
      <w:r w:rsidR="000C70C3" w:rsidRPr="00722811">
        <w:rPr>
          <w:b/>
          <w:i/>
        </w:rPr>
        <w:t>)</w:t>
      </w:r>
      <w:r w:rsidR="000C70C3" w:rsidRPr="00722811">
        <w:t xml:space="preserve"> (2021 to </w:t>
      </w:r>
      <w:r w:rsidR="008D6B1B">
        <w:t>2023</w:t>
      </w:r>
      <w:r w:rsidR="000C70C3" w:rsidRPr="00722811">
        <w:t>)—</w:t>
      </w:r>
      <w:r w:rsidR="000C70C3" w:rsidRPr="00722811">
        <w:rPr>
          <w:i/>
          <w:iCs/>
        </w:rPr>
        <w:t>Principal Investigator</w:t>
      </w:r>
      <w:r w:rsidR="000C70C3" w:rsidRPr="00722811">
        <w:t xml:space="preserve">. </w:t>
      </w:r>
      <w:r w:rsidR="00F755A5" w:rsidRPr="00722811">
        <w:t xml:space="preserve">CLETA is a data collection </w:t>
      </w:r>
      <w:r w:rsidR="00730759" w:rsidRPr="00722811">
        <w:t xml:space="preserve">on law enforcement basic training academies that is </w:t>
      </w:r>
      <w:r w:rsidR="00F755A5" w:rsidRPr="00722811">
        <w:t>conducted by the Bureau of Justice Statistics every 4</w:t>
      </w:r>
      <w:r w:rsidR="00730759" w:rsidRPr="00722811">
        <w:t>–</w:t>
      </w:r>
      <w:r w:rsidR="00F755A5" w:rsidRPr="00722811">
        <w:t xml:space="preserve">5 years. </w:t>
      </w:r>
      <w:r w:rsidR="00730759" w:rsidRPr="00722811">
        <w:t>O</w:t>
      </w:r>
      <w:r w:rsidR="00F755A5" w:rsidRPr="00722811">
        <w:t>versee</w:t>
      </w:r>
      <w:r w:rsidR="00730759" w:rsidRPr="00722811">
        <w:t>s</w:t>
      </w:r>
      <w:r w:rsidR="00F755A5" w:rsidRPr="00722811">
        <w:t xml:space="preserve"> instrument development</w:t>
      </w:r>
      <w:r w:rsidRPr="00722811">
        <w:t xml:space="preserve"> and testing</w:t>
      </w:r>
      <w:r w:rsidR="00F755A5" w:rsidRPr="00722811">
        <w:t xml:space="preserve">, </w:t>
      </w:r>
      <w:r w:rsidRPr="00722811">
        <w:t xml:space="preserve">frame development, and data collection for the 2022 CLETA. </w:t>
      </w:r>
    </w:p>
    <w:p w14:paraId="693F16D2" w14:textId="7B264FD8" w:rsidR="000203C9" w:rsidRPr="00C552F7" w:rsidRDefault="002134BC" w:rsidP="00730759">
      <w:pPr>
        <w:pStyle w:val="R-Text"/>
      </w:pPr>
      <w:r w:rsidRPr="00722811">
        <w:rPr>
          <w:b/>
          <w:i/>
        </w:rPr>
        <w:lastRenderedPageBreak/>
        <w:t>Law Enforcement Core Statistics (</w:t>
      </w:r>
      <w:r w:rsidRPr="005A21FA">
        <w:rPr>
          <w:b/>
          <w:i/>
        </w:rPr>
        <w:t>LECS</w:t>
      </w:r>
      <w:r w:rsidRPr="00722811">
        <w:rPr>
          <w:b/>
          <w:i/>
        </w:rPr>
        <w:t xml:space="preserve">) Program </w:t>
      </w:r>
      <w:r w:rsidRPr="00722811">
        <w:t xml:space="preserve">(2020 to </w:t>
      </w:r>
      <w:r w:rsidR="008D6B1B">
        <w:t>2023</w:t>
      </w:r>
      <w:r w:rsidRPr="00722811">
        <w:t>)—</w:t>
      </w:r>
      <w:r w:rsidRPr="00722811">
        <w:rPr>
          <w:i/>
          <w:iCs/>
        </w:rPr>
        <w:t>Research Analyst</w:t>
      </w:r>
      <w:r w:rsidRPr="00722811">
        <w:t>. The LECS program is a series of surveys to provide statistics about personnel, operations, polices, and procedures of law enforcement agencies. The LECS will consist of multiple data collection efforts including the Law Enforcement Management and Administrative Statistics (</w:t>
      </w:r>
      <w:r w:rsidRPr="005A21FA">
        <w:t>LEMAS</w:t>
      </w:r>
      <w:r w:rsidRPr="00722811">
        <w:t>) survey, the Census of State and Local Law Enforcement Agencies (</w:t>
      </w:r>
      <w:r w:rsidRPr="005A21FA">
        <w:t>CSLLEA</w:t>
      </w:r>
      <w:r w:rsidRPr="00722811">
        <w:t xml:space="preserve">), and supplemental surveys to the LEMAS on special topics such as forensic sciences services and body-worn camera usage. </w:t>
      </w:r>
      <w:r w:rsidR="00730759" w:rsidRPr="00722811">
        <w:t>C</w:t>
      </w:r>
      <w:r w:rsidRPr="00722811">
        <w:t>ollect</w:t>
      </w:r>
      <w:r w:rsidR="00730759" w:rsidRPr="00722811">
        <w:t>s</w:t>
      </w:r>
      <w:r w:rsidRPr="00722811">
        <w:t>, manage</w:t>
      </w:r>
      <w:r w:rsidR="00730759" w:rsidRPr="00722811">
        <w:t>s</w:t>
      </w:r>
      <w:r w:rsidRPr="00722811">
        <w:t>, and analyze</w:t>
      </w:r>
      <w:r w:rsidR="00730759" w:rsidRPr="00722811">
        <w:t>s</w:t>
      </w:r>
      <w:r w:rsidRPr="00722811">
        <w:t xml:space="preserve"> data on law enforcement agencies.</w:t>
      </w:r>
      <w:r w:rsidR="000203C9" w:rsidRPr="00722811">
        <w:t xml:space="preserve">  </w:t>
      </w:r>
    </w:p>
    <w:p w14:paraId="42933D96" w14:textId="78723C06" w:rsidR="00317D5C" w:rsidRPr="00722811" w:rsidRDefault="00317D5C" w:rsidP="009D25C7">
      <w:pPr>
        <w:pStyle w:val="R-Text"/>
        <w:autoSpaceDE w:val="0"/>
        <w:autoSpaceDN w:val="0"/>
        <w:adjustRightInd w:val="0"/>
        <w:rPr>
          <w:szCs w:val="24"/>
        </w:rPr>
      </w:pPr>
      <w:r w:rsidRPr="00722811">
        <w:rPr>
          <w:b/>
          <w:i/>
          <w:szCs w:val="24"/>
        </w:rPr>
        <w:t>National Crime Statistics Exchange</w:t>
      </w:r>
      <w:r w:rsidRPr="00722811">
        <w:rPr>
          <w:szCs w:val="24"/>
        </w:rPr>
        <w:t xml:space="preserve"> (2019 to </w:t>
      </w:r>
      <w:r w:rsidR="00B925F2">
        <w:rPr>
          <w:szCs w:val="24"/>
        </w:rPr>
        <w:t>2023</w:t>
      </w:r>
      <w:r w:rsidRPr="00722811">
        <w:rPr>
          <w:szCs w:val="24"/>
        </w:rPr>
        <w:t>)—</w:t>
      </w:r>
      <w:r w:rsidR="002134BC" w:rsidRPr="00722811">
        <w:rPr>
          <w:i/>
          <w:szCs w:val="24"/>
        </w:rPr>
        <w:t xml:space="preserve">Research </w:t>
      </w:r>
      <w:r w:rsidRPr="00722811">
        <w:rPr>
          <w:i/>
          <w:szCs w:val="24"/>
        </w:rPr>
        <w:t>Analyst</w:t>
      </w:r>
      <w:r w:rsidRPr="00722811">
        <w:rPr>
          <w:szCs w:val="24"/>
        </w:rPr>
        <w:t>. RTI partnered with the Bureau of Justice Statistics to expand the National Incident-Based Reporting System to provide nationally</w:t>
      </w:r>
      <w:r w:rsidR="00B279D4" w:rsidRPr="00722811">
        <w:rPr>
          <w:szCs w:val="24"/>
        </w:rPr>
        <w:t xml:space="preserve"> </w:t>
      </w:r>
      <w:r w:rsidRPr="00722811">
        <w:rPr>
          <w:szCs w:val="24"/>
        </w:rPr>
        <w:t xml:space="preserve">representative statistics on crime in the </w:t>
      </w:r>
      <w:r w:rsidR="00B279D4" w:rsidRPr="00722811">
        <w:rPr>
          <w:szCs w:val="24"/>
        </w:rPr>
        <w:t>United States</w:t>
      </w:r>
      <w:r w:rsidRPr="00722811">
        <w:rPr>
          <w:szCs w:val="24"/>
        </w:rPr>
        <w:t xml:space="preserve">. </w:t>
      </w:r>
      <w:r w:rsidR="00F922CE" w:rsidRPr="00722811">
        <w:rPr>
          <w:szCs w:val="24"/>
        </w:rPr>
        <w:t>A</w:t>
      </w:r>
      <w:r w:rsidRPr="00722811">
        <w:rPr>
          <w:szCs w:val="24"/>
        </w:rPr>
        <w:t>nalyze</w:t>
      </w:r>
      <w:r w:rsidR="00F922CE" w:rsidRPr="00722811">
        <w:rPr>
          <w:szCs w:val="24"/>
        </w:rPr>
        <w:t>s</w:t>
      </w:r>
      <w:r w:rsidRPr="00722811">
        <w:rPr>
          <w:szCs w:val="24"/>
        </w:rPr>
        <w:t xml:space="preserve"> these data and prepare</w:t>
      </w:r>
      <w:r w:rsidR="00F922CE" w:rsidRPr="00722811">
        <w:rPr>
          <w:szCs w:val="24"/>
        </w:rPr>
        <w:t>s</w:t>
      </w:r>
      <w:r w:rsidRPr="00722811">
        <w:rPr>
          <w:szCs w:val="24"/>
        </w:rPr>
        <w:t xml:space="preserve"> manuscripts</w:t>
      </w:r>
      <w:r w:rsidR="002134BC" w:rsidRPr="00722811">
        <w:rPr>
          <w:szCs w:val="24"/>
        </w:rPr>
        <w:t xml:space="preserve"> and reports</w:t>
      </w:r>
      <w:r w:rsidRPr="00722811">
        <w:rPr>
          <w:szCs w:val="24"/>
        </w:rPr>
        <w:t xml:space="preserve"> to</w:t>
      </w:r>
      <w:r w:rsidR="00BB4043" w:rsidRPr="00722811">
        <w:rPr>
          <w:szCs w:val="24"/>
        </w:rPr>
        <w:t xml:space="preserve"> </w:t>
      </w:r>
      <w:r w:rsidRPr="00722811">
        <w:rPr>
          <w:szCs w:val="24"/>
        </w:rPr>
        <w:t xml:space="preserve">show the value of reporting incident-based crime data. </w:t>
      </w:r>
    </w:p>
    <w:p w14:paraId="62FB7A14" w14:textId="5175A891" w:rsidR="00317D5C" w:rsidRPr="00722811" w:rsidRDefault="00317D5C" w:rsidP="009D25C7">
      <w:pPr>
        <w:pStyle w:val="R-Text"/>
        <w:autoSpaceDE w:val="0"/>
        <w:autoSpaceDN w:val="0"/>
        <w:adjustRightInd w:val="0"/>
        <w:rPr>
          <w:szCs w:val="24"/>
        </w:rPr>
      </w:pPr>
      <w:r w:rsidRPr="00722811">
        <w:rPr>
          <w:b/>
          <w:i/>
          <w:szCs w:val="24"/>
        </w:rPr>
        <w:t xml:space="preserve">Sexual Assault Kit Initiative </w:t>
      </w:r>
      <w:r w:rsidRPr="00722811">
        <w:rPr>
          <w:szCs w:val="24"/>
        </w:rPr>
        <w:t xml:space="preserve">(2019 to </w:t>
      </w:r>
      <w:r w:rsidR="00B925F2">
        <w:rPr>
          <w:szCs w:val="24"/>
        </w:rPr>
        <w:t>2021</w:t>
      </w:r>
      <w:r w:rsidRPr="00722811">
        <w:rPr>
          <w:szCs w:val="24"/>
        </w:rPr>
        <w:t>)</w:t>
      </w:r>
      <w:r w:rsidR="000955EA" w:rsidRPr="00722811">
        <w:rPr>
          <w:szCs w:val="24"/>
        </w:rPr>
        <w:t>—</w:t>
      </w:r>
      <w:r w:rsidR="000955EA" w:rsidRPr="00722811">
        <w:rPr>
          <w:i/>
          <w:szCs w:val="24"/>
        </w:rPr>
        <w:t>Research Analyst</w:t>
      </w:r>
      <w:r w:rsidR="000955EA" w:rsidRPr="00722811">
        <w:rPr>
          <w:szCs w:val="24"/>
        </w:rPr>
        <w:t xml:space="preserve">. This partnership between the Bureau of Justice Assistance and RTI assists U.S. police departments in testing unsubmitted sexual assault kits, solving sexual assaults, and improving community outreach. </w:t>
      </w:r>
      <w:r w:rsidR="00F922CE" w:rsidRPr="00722811">
        <w:rPr>
          <w:szCs w:val="24"/>
        </w:rPr>
        <w:t>P</w:t>
      </w:r>
      <w:r w:rsidR="000955EA" w:rsidRPr="00722811">
        <w:rPr>
          <w:szCs w:val="24"/>
        </w:rPr>
        <w:t>articipate</w:t>
      </w:r>
      <w:r w:rsidR="00F922CE" w:rsidRPr="00722811">
        <w:rPr>
          <w:szCs w:val="24"/>
        </w:rPr>
        <w:t>s</w:t>
      </w:r>
      <w:r w:rsidR="000955EA" w:rsidRPr="00722811">
        <w:rPr>
          <w:szCs w:val="24"/>
        </w:rPr>
        <w:t xml:space="preserve"> in the creation of </w:t>
      </w:r>
      <w:r w:rsidR="002134BC" w:rsidRPr="00722811">
        <w:rPr>
          <w:szCs w:val="24"/>
        </w:rPr>
        <w:t xml:space="preserve">reports and </w:t>
      </w:r>
      <w:r w:rsidR="000955EA" w:rsidRPr="00722811">
        <w:rPr>
          <w:szCs w:val="24"/>
        </w:rPr>
        <w:t xml:space="preserve">manuscripts that </w:t>
      </w:r>
      <w:r w:rsidR="00B279D4" w:rsidRPr="00722811">
        <w:rPr>
          <w:szCs w:val="24"/>
        </w:rPr>
        <w:t>use</w:t>
      </w:r>
      <w:r w:rsidR="000955EA" w:rsidRPr="00722811">
        <w:rPr>
          <w:szCs w:val="24"/>
        </w:rPr>
        <w:t xml:space="preserve"> these data to provide evidence-based recommendations for improving </w:t>
      </w:r>
      <w:r w:rsidR="002134BC" w:rsidRPr="00722811">
        <w:rPr>
          <w:szCs w:val="24"/>
        </w:rPr>
        <w:t>law enforcement’s response to</w:t>
      </w:r>
      <w:r w:rsidR="000955EA" w:rsidRPr="00722811">
        <w:rPr>
          <w:szCs w:val="24"/>
        </w:rPr>
        <w:t xml:space="preserve"> sexual assaults. </w:t>
      </w:r>
    </w:p>
    <w:p w14:paraId="342A542D" w14:textId="33080226" w:rsidR="000C70C3" w:rsidRPr="00722811" w:rsidRDefault="00797E2C" w:rsidP="00730759">
      <w:pPr>
        <w:pStyle w:val="R-Text"/>
      </w:pPr>
      <w:r>
        <w:rPr>
          <w:b/>
          <w:i/>
        </w:rPr>
        <w:t xml:space="preserve">Improving the </w:t>
      </w:r>
      <w:r w:rsidR="000C70C3" w:rsidRPr="00722811">
        <w:rPr>
          <w:b/>
          <w:i/>
        </w:rPr>
        <w:t>Understanding</w:t>
      </w:r>
      <w:r>
        <w:rPr>
          <w:b/>
          <w:i/>
        </w:rPr>
        <w:t xml:space="preserve"> of</w:t>
      </w:r>
      <w:r w:rsidR="000C70C3" w:rsidRPr="00722811">
        <w:rPr>
          <w:b/>
          <w:i/>
        </w:rPr>
        <w:t xml:space="preserve"> Mass Attack Plots </w:t>
      </w:r>
      <w:r w:rsidR="000C70C3" w:rsidRPr="00722811">
        <w:t>(2020 to 2021)—</w:t>
      </w:r>
      <w:r w:rsidR="000C70C3" w:rsidRPr="00722811">
        <w:rPr>
          <w:i/>
          <w:iCs/>
        </w:rPr>
        <w:t>Research Analyst</w:t>
      </w:r>
      <w:r w:rsidR="000C70C3" w:rsidRPr="00722811">
        <w:t>. Funded by NIJ, this project involve</w:t>
      </w:r>
      <w:r w:rsidR="00F922CE" w:rsidRPr="00722811">
        <w:t>d</w:t>
      </w:r>
      <w:r w:rsidR="000C70C3" w:rsidRPr="00722811">
        <w:t xml:space="preserve"> the collection, coding, and analysis of completed and foiled mass attack plots. </w:t>
      </w:r>
      <w:r w:rsidR="00F755A5" w:rsidRPr="00722811">
        <w:t>Identified and coded mass attack events.</w:t>
      </w:r>
    </w:p>
    <w:p w14:paraId="4DECC496" w14:textId="77777777" w:rsidR="00554167" w:rsidRPr="00722811" w:rsidRDefault="00554167" w:rsidP="00554167">
      <w:pPr>
        <w:pStyle w:val="R-Text"/>
        <w:autoSpaceDE w:val="0"/>
        <w:autoSpaceDN w:val="0"/>
        <w:adjustRightInd w:val="0"/>
      </w:pPr>
      <w:r w:rsidRPr="63333E84">
        <w:rPr>
          <w:b/>
          <w:bCs/>
          <w:i/>
          <w:iCs/>
        </w:rPr>
        <w:t xml:space="preserve">Justice Mental Health Collaboration Project </w:t>
      </w:r>
      <w:r>
        <w:t>(2019 to 2022)—</w:t>
      </w:r>
      <w:r w:rsidRPr="63333E84">
        <w:rPr>
          <w:i/>
          <w:iCs/>
        </w:rPr>
        <w:t>Research Analyst</w:t>
      </w:r>
      <w:r>
        <w:t xml:space="preserve">. RTI partnered with criminal justice and mental health agencies in Lafayette Parish, LA, to conduct an outcome evaluation of a pre-arrest diversion program. Designed and conducted the outcome evaluation. </w:t>
      </w:r>
    </w:p>
    <w:p w14:paraId="3E9D147F" w14:textId="00092D65" w:rsidR="000C70C3" w:rsidRPr="00722811" w:rsidRDefault="000C70C3" w:rsidP="00730759">
      <w:pPr>
        <w:pStyle w:val="R-Text"/>
        <w:rPr>
          <w:szCs w:val="24"/>
        </w:rPr>
      </w:pPr>
      <w:r w:rsidRPr="00722811">
        <w:rPr>
          <w:b/>
          <w:i/>
          <w:szCs w:val="24"/>
        </w:rPr>
        <w:t>Annual Surveys of Probation and Parole</w:t>
      </w:r>
      <w:r w:rsidRPr="00722811">
        <w:rPr>
          <w:szCs w:val="24"/>
        </w:rPr>
        <w:t xml:space="preserve"> (2019 to 2021)—</w:t>
      </w:r>
      <w:r w:rsidRPr="00722811">
        <w:rPr>
          <w:i/>
          <w:szCs w:val="24"/>
        </w:rPr>
        <w:t>Research Analyst</w:t>
      </w:r>
      <w:r w:rsidRPr="00722811">
        <w:rPr>
          <w:szCs w:val="24"/>
        </w:rPr>
        <w:t xml:space="preserve">. This project involves the collection, management, and analysis of two separate censuses of U.S. probation and parole agencies. </w:t>
      </w:r>
      <w:r w:rsidR="00F755A5" w:rsidRPr="00722811">
        <w:rPr>
          <w:szCs w:val="24"/>
        </w:rPr>
        <w:t>Analyzed</w:t>
      </w:r>
      <w:r w:rsidRPr="00722811">
        <w:rPr>
          <w:szCs w:val="24"/>
        </w:rPr>
        <w:t xml:space="preserve"> data and </w:t>
      </w:r>
      <w:r w:rsidR="00F755A5" w:rsidRPr="00722811">
        <w:rPr>
          <w:szCs w:val="24"/>
        </w:rPr>
        <w:t>developed</w:t>
      </w:r>
      <w:r w:rsidRPr="00722811">
        <w:rPr>
          <w:szCs w:val="24"/>
        </w:rPr>
        <w:t xml:space="preserve"> dissemination products. </w:t>
      </w:r>
    </w:p>
    <w:p w14:paraId="0556E58B" w14:textId="14513B79" w:rsidR="00406503" w:rsidRPr="00722811" w:rsidRDefault="00406503" w:rsidP="009D25C7">
      <w:pPr>
        <w:pStyle w:val="R-Text"/>
        <w:autoSpaceDE w:val="0"/>
        <w:autoSpaceDN w:val="0"/>
        <w:adjustRightInd w:val="0"/>
        <w:rPr>
          <w:i/>
          <w:szCs w:val="24"/>
        </w:rPr>
      </w:pPr>
      <w:r w:rsidRPr="00722811">
        <w:rPr>
          <w:b/>
          <w:i/>
          <w:szCs w:val="24"/>
        </w:rPr>
        <w:t>Identifying Effective Investigative Practices</w:t>
      </w:r>
      <w:r w:rsidRPr="00722811">
        <w:rPr>
          <w:szCs w:val="24"/>
        </w:rPr>
        <w:t xml:space="preserve"> (2015 to 2019)—</w:t>
      </w:r>
      <w:r w:rsidRPr="00722811">
        <w:rPr>
          <w:i/>
          <w:szCs w:val="24"/>
        </w:rPr>
        <w:t xml:space="preserve">Research Associate. </w:t>
      </w:r>
      <w:r w:rsidRPr="00722811">
        <w:rPr>
          <w:szCs w:val="24"/>
        </w:rPr>
        <w:t>This project was funded by the Laura and John Arnold Foundation to describe the case-, investigative-</w:t>
      </w:r>
      <w:r w:rsidR="001D6CB0" w:rsidRPr="00722811">
        <w:rPr>
          <w:szCs w:val="24"/>
        </w:rPr>
        <w:t>,</w:t>
      </w:r>
      <w:r w:rsidRPr="00722811">
        <w:rPr>
          <w:szCs w:val="24"/>
        </w:rPr>
        <w:t xml:space="preserve"> and organizational-level predictors of crime clearance for a sample of police agencies that varied by longitudinal crime clearance trajectories. This project involved interviewing police personnel and coding crime case files in </w:t>
      </w:r>
      <w:r w:rsidR="00C40212" w:rsidRPr="00722811">
        <w:rPr>
          <w:szCs w:val="24"/>
        </w:rPr>
        <w:t>eight</w:t>
      </w:r>
      <w:r w:rsidRPr="00722811">
        <w:rPr>
          <w:szCs w:val="24"/>
        </w:rPr>
        <w:t xml:space="preserve"> agencies across the country. </w:t>
      </w:r>
      <w:proofErr w:type="gramStart"/>
      <w:r w:rsidR="001D6CB0" w:rsidRPr="00722811">
        <w:rPr>
          <w:szCs w:val="24"/>
        </w:rPr>
        <w:t>P</w:t>
      </w:r>
      <w:r w:rsidRPr="00722811">
        <w:rPr>
          <w:szCs w:val="24"/>
        </w:rPr>
        <w:t>articipated</w:t>
      </w:r>
      <w:proofErr w:type="gramEnd"/>
      <w:r w:rsidRPr="00722811">
        <w:rPr>
          <w:szCs w:val="24"/>
        </w:rPr>
        <w:t xml:space="preserve"> in the quantitative and qualitative data collection, analyzed final data, and wrote manuscripts.</w:t>
      </w:r>
    </w:p>
    <w:p w14:paraId="221230A3" w14:textId="388B3F58" w:rsidR="00406503" w:rsidRPr="00722811" w:rsidRDefault="00406503" w:rsidP="009D25C7">
      <w:pPr>
        <w:pStyle w:val="R-Text"/>
        <w:autoSpaceDE w:val="0"/>
        <w:autoSpaceDN w:val="0"/>
        <w:adjustRightInd w:val="0"/>
        <w:rPr>
          <w:szCs w:val="24"/>
        </w:rPr>
      </w:pPr>
      <w:r w:rsidRPr="00722811">
        <w:rPr>
          <w:b/>
          <w:i/>
          <w:szCs w:val="24"/>
        </w:rPr>
        <w:t>The Underground Gun Market</w:t>
      </w:r>
      <w:r w:rsidRPr="00722811">
        <w:rPr>
          <w:szCs w:val="24"/>
        </w:rPr>
        <w:t xml:space="preserve"> (2014</w:t>
      </w:r>
      <w:r w:rsidR="001D6CB0" w:rsidRPr="00722811">
        <w:rPr>
          <w:szCs w:val="24"/>
        </w:rPr>
        <w:t xml:space="preserve"> to </w:t>
      </w:r>
      <w:r w:rsidRPr="00722811">
        <w:rPr>
          <w:szCs w:val="24"/>
        </w:rPr>
        <w:t>2017)</w:t>
      </w:r>
      <w:r w:rsidR="00C40212" w:rsidRPr="00722811">
        <w:rPr>
          <w:szCs w:val="24"/>
        </w:rPr>
        <w:t>—</w:t>
      </w:r>
      <w:r w:rsidR="00C40212" w:rsidRPr="00722811">
        <w:rPr>
          <w:i/>
          <w:szCs w:val="24"/>
        </w:rPr>
        <w:t xml:space="preserve">Data </w:t>
      </w:r>
      <w:r w:rsidR="001D6CB0" w:rsidRPr="00722811">
        <w:rPr>
          <w:i/>
          <w:szCs w:val="24"/>
        </w:rPr>
        <w:t>Analyst</w:t>
      </w:r>
      <w:r w:rsidR="00C40212" w:rsidRPr="00722811">
        <w:rPr>
          <w:i/>
          <w:szCs w:val="24"/>
        </w:rPr>
        <w:t>.</w:t>
      </w:r>
      <w:r w:rsidR="00C40212" w:rsidRPr="00722811">
        <w:rPr>
          <w:szCs w:val="24"/>
        </w:rPr>
        <w:t xml:space="preserve"> This project </w:t>
      </w:r>
      <w:r w:rsidR="001D6CB0" w:rsidRPr="00722811">
        <w:rPr>
          <w:szCs w:val="24"/>
        </w:rPr>
        <w:t xml:space="preserve">used </w:t>
      </w:r>
      <w:r w:rsidR="00C40212" w:rsidRPr="00722811">
        <w:rPr>
          <w:szCs w:val="24"/>
        </w:rPr>
        <w:t xml:space="preserve">recovered firearm trace data and prisoner interviews to describe how criminals obtain guns used in violent crimes. The researchers interviewed gun offenders in prisons in two states and used the trace data to examine the source of crime guns. </w:t>
      </w:r>
      <w:proofErr w:type="gramStart"/>
      <w:r w:rsidR="001D6CB0" w:rsidRPr="00722811">
        <w:rPr>
          <w:szCs w:val="24"/>
        </w:rPr>
        <w:t>A</w:t>
      </w:r>
      <w:r w:rsidR="00C40212" w:rsidRPr="00722811">
        <w:rPr>
          <w:szCs w:val="24"/>
        </w:rPr>
        <w:t>nalyzed</w:t>
      </w:r>
      <w:proofErr w:type="gramEnd"/>
      <w:r w:rsidR="00C40212" w:rsidRPr="00722811">
        <w:rPr>
          <w:szCs w:val="24"/>
        </w:rPr>
        <w:t xml:space="preserve"> the trace data and contributed to the </w:t>
      </w:r>
      <w:r w:rsidR="001D6CB0" w:rsidRPr="00722811">
        <w:rPr>
          <w:szCs w:val="24"/>
        </w:rPr>
        <w:t xml:space="preserve">resulting </w:t>
      </w:r>
      <w:r w:rsidR="00C40212" w:rsidRPr="00722811">
        <w:rPr>
          <w:szCs w:val="24"/>
        </w:rPr>
        <w:t xml:space="preserve">manuscript. </w:t>
      </w:r>
    </w:p>
    <w:p w14:paraId="0A32ABB1" w14:textId="77777777" w:rsidR="007C71CF" w:rsidRPr="00722811" w:rsidRDefault="007C71CF" w:rsidP="009D25C7">
      <w:pPr>
        <w:pStyle w:val="R-2h"/>
        <w:autoSpaceDE w:val="0"/>
        <w:autoSpaceDN w:val="0"/>
        <w:adjustRightInd w:val="0"/>
        <w:rPr>
          <w:szCs w:val="24"/>
        </w:rPr>
      </w:pPr>
      <w:r w:rsidRPr="00722811">
        <w:rPr>
          <w:szCs w:val="24"/>
        </w:rPr>
        <w:t>Professional Experience</w:t>
      </w:r>
    </w:p>
    <w:p w14:paraId="54F166A3" w14:textId="3DC10411" w:rsidR="007C71CF" w:rsidRPr="00722811" w:rsidRDefault="007C71CF" w:rsidP="009D25C7">
      <w:pPr>
        <w:pStyle w:val="R-Employment-firstpart"/>
        <w:autoSpaceDE w:val="0"/>
        <w:autoSpaceDN w:val="0"/>
        <w:adjustRightInd w:val="0"/>
        <w:rPr>
          <w:szCs w:val="24"/>
        </w:rPr>
      </w:pPr>
      <w:r w:rsidRPr="00722811">
        <w:rPr>
          <w:szCs w:val="24"/>
        </w:rPr>
        <w:t xml:space="preserve">2019 to </w:t>
      </w:r>
      <w:r w:rsidR="008D6B1B">
        <w:rPr>
          <w:szCs w:val="24"/>
        </w:rPr>
        <w:t>2025</w:t>
      </w:r>
      <w:r w:rsidRPr="00722811">
        <w:rPr>
          <w:szCs w:val="24"/>
        </w:rPr>
        <w:t>. RTI International, Waltham, MA.</w:t>
      </w:r>
    </w:p>
    <w:p w14:paraId="4BFB640A" w14:textId="0724836D" w:rsidR="007C71CF" w:rsidRPr="00722811" w:rsidRDefault="006506FB" w:rsidP="009D25C7">
      <w:pPr>
        <w:pStyle w:val="R-Employment-secondpart"/>
      </w:pPr>
      <w:r w:rsidRPr="00722811">
        <w:rPr>
          <w:b/>
          <w:i/>
        </w:rPr>
        <w:t>Research Public Health Analyst</w:t>
      </w:r>
      <w:r w:rsidR="007C71CF" w:rsidRPr="00722811">
        <w:t>.</w:t>
      </w:r>
      <w:r w:rsidR="00C40212" w:rsidRPr="00722811">
        <w:t xml:space="preserve"> </w:t>
      </w:r>
      <w:r w:rsidR="001D6CB0" w:rsidRPr="00722811">
        <w:t>W</w:t>
      </w:r>
      <w:r w:rsidR="00C40212" w:rsidRPr="00722811">
        <w:t>in</w:t>
      </w:r>
      <w:r w:rsidR="001D6CB0" w:rsidRPr="00722811">
        <w:t>s</w:t>
      </w:r>
      <w:r w:rsidR="00C40212" w:rsidRPr="00722811">
        <w:t>, lead</w:t>
      </w:r>
      <w:r w:rsidR="001D6CB0" w:rsidRPr="00722811">
        <w:t>s</w:t>
      </w:r>
      <w:r w:rsidR="00C40212" w:rsidRPr="00722811">
        <w:t>, and manag</w:t>
      </w:r>
      <w:r w:rsidR="001D6CB0" w:rsidRPr="00722811">
        <w:t>es</w:t>
      </w:r>
      <w:r w:rsidR="00C40212" w:rsidRPr="00722811">
        <w:t xml:space="preserve"> complex research and evaluation projects related to crime and the criminal justice system. </w:t>
      </w:r>
      <w:r w:rsidR="007C71CF" w:rsidRPr="00722811">
        <w:t xml:space="preserve"> </w:t>
      </w:r>
    </w:p>
    <w:p w14:paraId="47C9BB91" w14:textId="78D3A1BA" w:rsidR="00D259B6" w:rsidRPr="00722811" w:rsidRDefault="00D259B6" w:rsidP="63333E84">
      <w:pPr>
        <w:pStyle w:val="R-Employment-secondpart"/>
        <w:ind w:left="0"/>
      </w:pPr>
      <w:r>
        <w:t>201</w:t>
      </w:r>
      <w:r w:rsidR="003E2901">
        <w:t>4</w:t>
      </w:r>
      <w:r>
        <w:t xml:space="preserve"> to 2018. Justice Assessment &amp; Evaluation Services, Round Hill, </w:t>
      </w:r>
      <w:r w:rsidRPr="005A21FA">
        <w:t>VA</w:t>
      </w:r>
      <w:r>
        <w:t xml:space="preserve">. </w:t>
      </w:r>
    </w:p>
    <w:p w14:paraId="5E23ACB5" w14:textId="04C869F9" w:rsidR="00D259B6" w:rsidRPr="00722811" w:rsidRDefault="00D259B6" w:rsidP="00D259B6">
      <w:pPr>
        <w:pStyle w:val="R-Employment-secondpart"/>
      </w:pPr>
      <w:r w:rsidRPr="00722811">
        <w:rPr>
          <w:b/>
          <w:i/>
        </w:rPr>
        <w:t>Research Associate</w:t>
      </w:r>
      <w:r w:rsidR="003E2901">
        <w:rPr>
          <w:bCs/>
          <w:iCs/>
        </w:rPr>
        <w:t xml:space="preserve"> (2017 to 2018).</w:t>
      </w:r>
      <w:r w:rsidRPr="00722811">
        <w:rPr>
          <w:b/>
          <w:i/>
        </w:rPr>
        <w:t xml:space="preserve"> </w:t>
      </w:r>
      <w:r w:rsidRPr="00722811">
        <w:t xml:space="preserve">Supervised data collection, analyzed data, prepared reports and publications. </w:t>
      </w:r>
    </w:p>
    <w:p w14:paraId="5A45E932" w14:textId="71D0A879" w:rsidR="00D259B6" w:rsidRPr="00722811" w:rsidRDefault="00D259B6" w:rsidP="00B279D4">
      <w:pPr>
        <w:pStyle w:val="R-Employment-secondpart"/>
      </w:pPr>
      <w:r w:rsidRPr="00722811">
        <w:rPr>
          <w:b/>
          <w:i/>
        </w:rPr>
        <w:t>Research Analyst</w:t>
      </w:r>
      <w:r w:rsidR="003E2901">
        <w:t xml:space="preserve"> (2014 to 2017).</w:t>
      </w:r>
      <w:r w:rsidRPr="00722811">
        <w:t xml:space="preserve"> Managed and analyzed data for presentations and manuscripts. </w:t>
      </w:r>
    </w:p>
    <w:p w14:paraId="34661E75" w14:textId="77777777" w:rsidR="007C71CF" w:rsidRPr="00722811" w:rsidRDefault="007C71CF" w:rsidP="009D25C7">
      <w:pPr>
        <w:pStyle w:val="R-2h"/>
        <w:autoSpaceDE w:val="0"/>
        <w:autoSpaceDN w:val="0"/>
        <w:adjustRightInd w:val="0"/>
        <w:rPr>
          <w:szCs w:val="24"/>
        </w:rPr>
      </w:pPr>
      <w:r w:rsidRPr="00722811">
        <w:rPr>
          <w:szCs w:val="24"/>
        </w:rPr>
        <w:lastRenderedPageBreak/>
        <w:t>Professional Associations</w:t>
      </w:r>
    </w:p>
    <w:p w14:paraId="5EC02DE7" w14:textId="0A775488" w:rsidR="0068218C" w:rsidRPr="00722811" w:rsidRDefault="0068218C" w:rsidP="009D25C7">
      <w:pPr>
        <w:pStyle w:val="R-Indent"/>
        <w:keepNext/>
        <w:autoSpaceDE w:val="0"/>
        <w:autoSpaceDN w:val="0"/>
        <w:adjustRightInd w:val="0"/>
        <w:rPr>
          <w:szCs w:val="24"/>
        </w:rPr>
      </w:pPr>
      <w:r w:rsidRPr="00722811">
        <w:rPr>
          <w:szCs w:val="24"/>
        </w:rPr>
        <w:t>American Society of Criminology</w:t>
      </w:r>
    </w:p>
    <w:p w14:paraId="1EF28F72" w14:textId="74FD5874" w:rsidR="00D7788D" w:rsidRPr="00722811" w:rsidRDefault="00D7788D" w:rsidP="0061145D">
      <w:pPr>
        <w:pStyle w:val="R-Indent"/>
        <w:autoSpaceDE w:val="0"/>
        <w:autoSpaceDN w:val="0"/>
        <w:adjustRightInd w:val="0"/>
        <w:rPr>
          <w:szCs w:val="24"/>
        </w:rPr>
      </w:pPr>
      <w:r w:rsidRPr="00722811">
        <w:rPr>
          <w:szCs w:val="24"/>
        </w:rPr>
        <w:t>International Association of Chiefs of Police</w:t>
      </w:r>
    </w:p>
    <w:p w14:paraId="5BC362C8" w14:textId="77777777" w:rsidR="007C71CF" w:rsidRPr="00722811" w:rsidRDefault="007C71CF" w:rsidP="009D25C7">
      <w:pPr>
        <w:pStyle w:val="R-2h"/>
        <w:autoSpaceDE w:val="0"/>
        <w:autoSpaceDN w:val="0"/>
        <w:adjustRightInd w:val="0"/>
        <w:rPr>
          <w:szCs w:val="24"/>
        </w:rPr>
      </w:pPr>
      <w:r w:rsidRPr="00722811">
        <w:rPr>
          <w:szCs w:val="24"/>
        </w:rPr>
        <w:t>Seminars and Courses Taught</w:t>
      </w:r>
    </w:p>
    <w:p w14:paraId="71B167C6" w14:textId="30992063" w:rsidR="007C71CF" w:rsidRPr="00722811" w:rsidRDefault="007C71CF" w:rsidP="009D25C7">
      <w:pPr>
        <w:pStyle w:val="R-Indent"/>
        <w:autoSpaceDE w:val="0"/>
        <w:autoSpaceDN w:val="0"/>
        <w:adjustRightInd w:val="0"/>
        <w:rPr>
          <w:szCs w:val="24"/>
        </w:rPr>
      </w:pPr>
      <w:r w:rsidRPr="00722811">
        <w:rPr>
          <w:szCs w:val="24"/>
        </w:rPr>
        <w:t xml:space="preserve">Research Methods in Criminal Justice, Lasell College, </w:t>
      </w:r>
      <w:r w:rsidR="006506FB" w:rsidRPr="00722811">
        <w:rPr>
          <w:szCs w:val="24"/>
          <w:lang w:val="en"/>
        </w:rPr>
        <w:t xml:space="preserve">Auburndale, MA, </w:t>
      </w:r>
      <w:r w:rsidR="002F4787" w:rsidRPr="00722811">
        <w:rPr>
          <w:szCs w:val="24"/>
        </w:rPr>
        <w:t xml:space="preserve">fall </w:t>
      </w:r>
      <w:r w:rsidRPr="00722811">
        <w:rPr>
          <w:szCs w:val="24"/>
        </w:rPr>
        <w:t>2018</w:t>
      </w:r>
    </w:p>
    <w:p w14:paraId="3DE6FDF5" w14:textId="2B6DA66D" w:rsidR="007C71CF" w:rsidRPr="00722811" w:rsidRDefault="007C71CF" w:rsidP="009D25C7">
      <w:pPr>
        <w:pStyle w:val="R-Indent"/>
        <w:autoSpaceDE w:val="0"/>
        <w:autoSpaceDN w:val="0"/>
        <w:adjustRightInd w:val="0"/>
        <w:rPr>
          <w:szCs w:val="24"/>
        </w:rPr>
      </w:pPr>
      <w:r w:rsidRPr="00722811">
        <w:rPr>
          <w:szCs w:val="24"/>
        </w:rPr>
        <w:t xml:space="preserve">Corrections, University of Maryland, College Park, </w:t>
      </w:r>
      <w:r w:rsidR="006506FB" w:rsidRPr="00722811">
        <w:rPr>
          <w:szCs w:val="24"/>
        </w:rPr>
        <w:t xml:space="preserve">MD, </w:t>
      </w:r>
      <w:r w:rsidR="002F4787" w:rsidRPr="00722811">
        <w:rPr>
          <w:szCs w:val="24"/>
        </w:rPr>
        <w:t xml:space="preserve">spring </w:t>
      </w:r>
      <w:r w:rsidRPr="00722811">
        <w:rPr>
          <w:szCs w:val="24"/>
        </w:rPr>
        <w:t>2017</w:t>
      </w:r>
    </w:p>
    <w:p w14:paraId="19BE83AE" w14:textId="77777777" w:rsidR="007C71CF" w:rsidRPr="00722811" w:rsidRDefault="007C71CF" w:rsidP="009D25C7">
      <w:pPr>
        <w:pStyle w:val="R-2h"/>
        <w:autoSpaceDE w:val="0"/>
        <w:autoSpaceDN w:val="0"/>
        <w:adjustRightInd w:val="0"/>
        <w:rPr>
          <w:szCs w:val="24"/>
        </w:rPr>
      </w:pPr>
      <w:r w:rsidRPr="00722811">
        <w:rPr>
          <w:szCs w:val="24"/>
        </w:rPr>
        <w:t>Special Courses</w:t>
      </w:r>
    </w:p>
    <w:p w14:paraId="58DD9A77" w14:textId="76BC6D92" w:rsidR="0068218C" w:rsidRPr="00722811" w:rsidRDefault="0068218C" w:rsidP="009D25C7">
      <w:pPr>
        <w:pStyle w:val="R-Indent"/>
        <w:autoSpaceDE w:val="0"/>
        <w:autoSpaceDN w:val="0"/>
        <w:adjustRightInd w:val="0"/>
        <w:rPr>
          <w:szCs w:val="24"/>
        </w:rPr>
      </w:pPr>
      <w:r w:rsidRPr="00722811">
        <w:rPr>
          <w:szCs w:val="24"/>
        </w:rPr>
        <w:t>Longitudinal Data Analysis Using Stata, Statistical Horizons Seminar, February 2018</w:t>
      </w:r>
    </w:p>
    <w:p w14:paraId="35C46EDA" w14:textId="31726EB0" w:rsidR="0068218C" w:rsidRPr="00722811" w:rsidRDefault="0068218C" w:rsidP="009D25C7">
      <w:pPr>
        <w:pStyle w:val="R-Indent"/>
        <w:autoSpaceDE w:val="0"/>
        <w:autoSpaceDN w:val="0"/>
        <w:adjustRightInd w:val="0"/>
        <w:rPr>
          <w:szCs w:val="24"/>
        </w:rPr>
      </w:pPr>
      <w:r w:rsidRPr="00722811">
        <w:rPr>
          <w:szCs w:val="24"/>
        </w:rPr>
        <w:t xml:space="preserve">Longitudinal Data Analysis Using </w:t>
      </w:r>
      <w:r w:rsidRPr="005A21FA">
        <w:rPr>
          <w:szCs w:val="24"/>
        </w:rPr>
        <w:t>SEM</w:t>
      </w:r>
      <w:r w:rsidRPr="00722811">
        <w:rPr>
          <w:szCs w:val="24"/>
        </w:rPr>
        <w:t>, Statistical Horizons Seminar, June 2017</w:t>
      </w:r>
    </w:p>
    <w:p w14:paraId="378A5B30" w14:textId="77777777" w:rsidR="007C71CF" w:rsidRPr="00722811" w:rsidRDefault="007C71CF" w:rsidP="009D25C7">
      <w:pPr>
        <w:pStyle w:val="R-2h"/>
        <w:autoSpaceDE w:val="0"/>
        <w:autoSpaceDN w:val="0"/>
        <w:adjustRightInd w:val="0"/>
        <w:rPr>
          <w:szCs w:val="24"/>
        </w:rPr>
      </w:pPr>
      <w:r w:rsidRPr="00722811">
        <w:rPr>
          <w:szCs w:val="24"/>
        </w:rPr>
        <w:t>Computer Skills</w:t>
      </w:r>
    </w:p>
    <w:p w14:paraId="605D77F4" w14:textId="5D902EAC" w:rsidR="0068218C" w:rsidRPr="00722811" w:rsidRDefault="0068218C" w:rsidP="009D25C7">
      <w:pPr>
        <w:pStyle w:val="R-Indent"/>
        <w:autoSpaceDE w:val="0"/>
        <w:autoSpaceDN w:val="0"/>
        <w:adjustRightInd w:val="0"/>
        <w:rPr>
          <w:szCs w:val="24"/>
        </w:rPr>
      </w:pPr>
      <w:r w:rsidRPr="00722811">
        <w:rPr>
          <w:szCs w:val="24"/>
        </w:rPr>
        <w:t>Stata</w:t>
      </w:r>
      <w:r w:rsidR="008D6B1B">
        <w:rPr>
          <w:szCs w:val="24"/>
        </w:rPr>
        <w:t xml:space="preserve"> (intermediate); R (beginner)</w:t>
      </w:r>
    </w:p>
    <w:p w14:paraId="5B93C188" w14:textId="77777777" w:rsidR="007C71CF" w:rsidRPr="00722811" w:rsidRDefault="007C71CF" w:rsidP="009D25C7">
      <w:pPr>
        <w:pStyle w:val="R-2h"/>
        <w:autoSpaceDE w:val="0"/>
        <w:autoSpaceDN w:val="0"/>
        <w:adjustRightInd w:val="0"/>
        <w:rPr>
          <w:szCs w:val="24"/>
        </w:rPr>
      </w:pPr>
      <w:r w:rsidRPr="00722811">
        <w:rPr>
          <w:szCs w:val="24"/>
        </w:rPr>
        <w:t>Peer-Reviewed Journal Articles</w:t>
      </w:r>
    </w:p>
    <w:p w14:paraId="1939EA9F" w14:textId="253A2AA6" w:rsidR="00AD16C9" w:rsidRDefault="00AD16C9" w:rsidP="0075022D">
      <w:pPr>
        <w:pStyle w:val="biblio-entry"/>
        <w:autoSpaceDE w:val="0"/>
        <w:autoSpaceDN w:val="0"/>
        <w:adjustRightInd w:val="0"/>
        <w:rPr>
          <w:color w:val="222222"/>
          <w:shd w:val="clear" w:color="auto" w:fill="FFFFFF"/>
        </w:rPr>
      </w:pPr>
      <w:bookmarkStart w:id="0" w:name="_Hlk3818743"/>
      <w:r w:rsidRPr="00AD16C9">
        <w:rPr>
          <w:color w:val="222222"/>
          <w:shd w:val="clear" w:color="auto" w:fill="FFFFFF"/>
        </w:rPr>
        <w:t>Scott, T., Johnson, N., Martin, K., Pope, M., &amp; Strom, K. (2025). Leveraging the National Incident-based Reporting System to compare fatal and nonfatal shooting incidents. </w:t>
      </w:r>
      <w:r w:rsidRPr="00AD16C9">
        <w:rPr>
          <w:i/>
          <w:iCs/>
          <w:color w:val="222222"/>
          <w:shd w:val="clear" w:color="auto" w:fill="FFFFFF"/>
        </w:rPr>
        <w:t>Journal of Crime and Justice</w:t>
      </w:r>
      <w:r w:rsidRPr="00AD16C9">
        <w:rPr>
          <w:color w:val="222222"/>
          <w:shd w:val="clear" w:color="auto" w:fill="FFFFFF"/>
        </w:rPr>
        <w:t>, 1-17.</w:t>
      </w:r>
    </w:p>
    <w:p w14:paraId="0B9C83F2" w14:textId="0FBCC718" w:rsidR="00AD16C9" w:rsidRDefault="00273E2A" w:rsidP="0075022D">
      <w:pPr>
        <w:pStyle w:val="biblio-entry"/>
        <w:autoSpaceDE w:val="0"/>
        <w:autoSpaceDN w:val="0"/>
        <w:adjustRightInd w:val="0"/>
        <w:rPr>
          <w:color w:val="222222"/>
          <w:shd w:val="clear" w:color="auto" w:fill="FFFFFF"/>
        </w:rPr>
      </w:pPr>
      <w:r w:rsidRPr="00273E2A">
        <w:rPr>
          <w:color w:val="222222"/>
          <w:shd w:val="clear" w:color="auto" w:fill="FFFFFF"/>
        </w:rPr>
        <w:t>Johnson, N. J., Scott, T., Martin, K., Pope, M., &amp; Strom, K. J. (2025). Disaggregating Aggravated Assault: A Comparison of Nonfatal Shootings and Other Nonfatal Gun Assaults in the National Incident-Based Reporting System. </w:t>
      </w:r>
      <w:r w:rsidRPr="00273E2A">
        <w:rPr>
          <w:i/>
          <w:iCs/>
          <w:color w:val="222222"/>
          <w:shd w:val="clear" w:color="auto" w:fill="FFFFFF"/>
        </w:rPr>
        <w:t>Crime &amp; Delinquency</w:t>
      </w:r>
      <w:r w:rsidRPr="00273E2A">
        <w:rPr>
          <w:color w:val="222222"/>
          <w:shd w:val="clear" w:color="auto" w:fill="FFFFFF"/>
        </w:rPr>
        <w:t>, 00111287251337420.</w:t>
      </w:r>
    </w:p>
    <w:p w14:paraId="7B7CAAE9" w14:textId="5DEA9680" w:rsidR="0075022D" w:rsidRPr="0075022D" w:rsidRDefault="0075022D" w:rsidP="0075022D">
      <w:pPr>
        <w:pStyle w:val="biblio-entry"/>
        <w:autoSpaceDE w:val="0"/>
        <w:autoSpaceDN w:val="0"/>
        <w:adjustRightInd w:val="0"/>
        <w:rPr>
          <w:color w:val="222222"/>
          <w:shd w:val="clear" w:color="auto" w:fill="FFFFFF"/>
          <w:lang w:val="da-DK"/>
        </w:rPr>
      </w:pPr>
      <w:r w:rsidRPr="0075022D">
        <w:rPr>
          <w:color w:val="222222"/>
          <w:shd w:val="clear" w:color="auto" w:fill="FFFFFF"/>
        </w:rPr>
        <w:t>Lum, C., Wellford, C., Scott, T. L., Vovak, H., Scherer, J., &amp; Goodier, M. (202</w:t>
      </w:r>
      <w:r w:rsidR="00D3300C">
        <w:rPr>
          <w:color w:val="222222"/>
          <w:shd w:val="clear" w:color="auto" w:fill="FFFFFF"/>
        </w:rPr>
        <w:t>4</w:t>
      </w:r>
      <w:r w:rsidRPr="0075022D">
        <w:rPr>
          <w:color w:val="222222"/>
          <w:shd w:val="clear" w:color="auto" w:fill="FFFFFF"/>
        </w:rPr>
        <w:t xml:space="preserve">). Differences between high and low performing police agencies in clearing robberies, aggravated assaults, and burglaries: Findings from an eight-agency case study. </w:t>
      </w:r>
      <w:r w:rsidRPr="0075022D">
        <w:rPr>
          <w:i/>
          <w:color w:val="222222"/>
          <w:shd w:val="clear" w:color="auto" w:fill="FFFFFF"/>
        </w:rPr>
        <w:t>Police Quarterly</w:t>
      </w:r>
      <w:r w:rsidR="00D3300C">
        <w:rPr>
          <w:i/>
          <w:color w:val="222222"/>
          <w:shd w:val="clear" w:color="auto" w:fill="FFFFFF"/>
        </w:rPr>
        <w:t>, 27</w:t>
      </w:r>
      <w:r w:rsidR="00D3300C">
        <w:rPr>
          <w:iCs/>
          <w:color w:val="222222"/>
          <w:shd w:val="clear" w:color="auto" w:fill="FFFFFF"/>
        </w:rPr>
        <w:t>(2)</w:t>
      </w:r>
      <w:r w:rsidR="00D3300C">
        <w:rPr>
          <w:color w:val="222222"/>
          <w:shd w:val="clear" w:color="auto" w:fill="FFFFFF"/>
        </w:rPr>
        <w:t>, 135-157</w:t>
      </w:r>
      <w:r>
        <w:rPr>
          <w:color w:val="222222"/>
          <w:shd w:val="clear" w:color="auto" w:fill="FFFFFF"/>
        </w:rPr>
        <w:t>.</w:t>
      </w:r>
      <w:r w:rsidRPr="0075022D">
        <w:rPr>
          <w:color w:val="222222"/>
          <w:shd w:val="clear" w:color="auto" w:fill="FFFFFF"/>
        </w:rPr>
        <w:t xml:space="preserve"> </w:t>
      </w:r>
      <w:hyperlink r:id="rId10" w:history="1">
        <w:r w:rsidRPr="0075022D">
          <w:rPr>
            <w:rStyle w:val="Hyperlink"/>
            <w:shd w:val="clear" w:color="auto" w:fill="FFFFFF"/>
          </w:rPr>
          <w:t>https://doi.org/10.1177/10986111231182728</w:t>
        </w:r>
      </w:hyperlink>
      <w:r>
        <w:rPr>
          <w:color w:val="222222"/>
          <w:shd w:val="clear" w:color="auto" w:fill="FFFFFF"/>
        </w:rPr>
        <w:t xml:space="preserve"> </w:t>
      </w:r>
    </w:p>
    <w:p w14:paraId="3B13E3EB" w14:textId="27DE8DDD" w:rsidR="0075022D" w:rsidRPr="00722811" w:rsidRDefault="0075022D" w:rsidP="006F52C4">
      <w:pPr>
        <w:pStyle w:val="biblio-entry"/>
        <w:autoSpaceDE w:val="0"/>
        <w:autoSpaceDN w:val="0"/>
        <w:adjustRightInd w:val="0"/>
        <w:rPr>
          <w:rStyle w:val="bibsurname"/>
          <w:rFonts w:eastAsia="Times New Roman"/>
          <w:shd w:val="clear" w:color="auto" w:fill="auto"/>
        </w:rPr>
      </w:pPr>
      <w:r w:rsidRPr="00722811">
        <w:rPr>
          <w:color w:val="222222"/>
          <w:shd w:val="clear" w:color="auto" w:fill="FFFFFF"/>
        </w:rPr>
        <w:t>Rash, J., Scott, T., Clements, P., &amp; Strom, K. (202</w:t>
      </w:r>
      <w:r w:rsidR="005C6941">
        <w:rPr>
          <w:color w:val="222222"/>
          <w:shd w:val="clear" w:color="auto" w:fill="FFFFFF"/>
        </w:rPr>
        <w:t>3</w:t>
      </w:r>
      <w:r w:rsidRPr="00722811">
        <w:rPr>
          <w:color w:val="222222"/>
          <w:shd w:val="clear" w:color="auto" w:fill="FFFFFF"/>
        </w:rPr>
        <w:t xml:space="preserve">). Stealing tires or copper wires? How the National Incident-Based Reporting System changed how the Arlington, </w:t>
      </w:r>
      <w:proofErr w:type="gramStart"/>
      <w:r w:rsidRPr="00722811">
        <w:rPr>
          <w:color w:val="222222"/>
          <w:shd w:val="clear" w:color="auto" w:fill="FFFFFF"/>
        </w:rPr>
        <w:t>Texas,</w:t>
      </w:r>
      <w:proofErr w:type="gramEnd"/>
      <w:r w:rsidRPr="00722811">
        <w:rPr>
          <w:color w:val="222222"/>
          <w:shd w:val="clear" w:color="auto" w:fill="FFFFFF"/>
        </w:rPr>
        <w:t xml:space="preserve"> Police Department addresses larceny-thefts. </w:t>
      </w:r>
      <w:r w:rsidRPr="00722811">
        <w:rPr>
          <w:i/>
          <w:iCs/>
          <w:color w:val="222222"/>
          <w:shd w:val="clear" w:color="auto" w:fill="FFFFFF"/>
        </w:rPr>
        <w:t>International Journal of Comparative and Applied Criminal Justic</w:t>
      </w:r>
      <w:r w:rsidR="005C6941">
        <w:rPr>
          <w:i/>
          <w:iCs/>
          <w:color w:val="222222"/>
          <w:shd w:val="clear" w:color="auto" w:fill="FFFFFF"/>
        </w:rPr>
        <w:t xml:space="preserve">e, </w:t>
      </w:r>
      <w:r w:rsidR="009A25C0">
        <w:rPr>
          <w:i/>
          <w:iCs/>
          <w:color w:val="222222"/>
          <w:shd w:val="clear" w:color="auto" w:fill="FFFFFF"/>
        </w:rPr>
        <w:t>47</w:t>
      </w:r>
      <w:r w:rsidR="009A25C0">
        <w:rPr>
          <w:color w:val="222222"/>
          <w:shd w:val="clear" w:color="auto" w:fill="FFFFFF"/>
        </w:rPr>
        <w:t>(4), 417-429</w:t>
      </w:r>
      <w:r w:rsidRPr="00722811">
        <w:rPr>
          <w:color w:val="222222"/>
          <w:shd w:val="clear" w:color="auto" w:fill="FFFFFF"/>
        </w:rPr>
        <w:t xml:space="preserve">. </w:t>
      </w:r>
      <w:hyperlink r:id="rId11" w:history="1">
        <w:r w:rsidRPr="00722811">
          <w:rPr>
            <w:rStyle w:val="Hyperlink"/>
            <w:shd w:val="clear" w:color="auto" w:fill="FFFFFF"/>
          </w:rPr>
          <w:t>https://doi.org/10.1080/01924036.2022.2059535</w:t>
        </w:r>
      </w:hyperlink>
      <w:r w:rsidRPr="00722811">
        <w:rPr>
          <w:color w:val="222222"/>
          <w:shd w:val="clear" w:color="auto" w:fill="FFFFFF"/>
        </w:rPr>
        <w:t xml:space="preserve"> </w:t>
      </w:r>
    </w:p>
    <w:p w14:paraId="051B73E9" w14:textId="77777777" w:rsidR="0075022D" w:rsidRPr="00722811" w:rsidRDefault="0075022D" w:rsidP="006F52C4">
      <w:pPr>
        <w:pStyle w:val="biblio-entry"/>
        <w:autoSpaceDE w:val="0"/>
        <w:autoSpaceDN w:val="0"/>
        <w:adjustRightInd w:val="0"/>
        <w:rPr>
          <w:color w:val="222222"/>
          <w:shd w:val="clear" w:color="auto" w:fill="FFFFFF"/>
        </w:rPr>
      </w:pPr>
      <w:r w:rsidRPr="00722811">
        <w:rPr>
          <w:color w:val="222222"/>
          <w:shd w:val="clear" w:color="auto" w:fill="FFFFFF"/>
        </w:rPr>
        <w:t xml:space="preserve">Scott, T. L., Strom, K. J., &amp; Planty, M. (2022). Using National Incident-Based Reporting System data to assess agency differences in clearance rates: A recommendation for law enforcement. </w:t>
      </w:r>
      <w:r w:rsidRPr="00722811">
        <w:rPr>
          <w:i/>
          <w:iCs/>
          <w:color w:val="222222"/>
          <w:shd w:val="clear" w:color="auto" w:fill="FFFFFF"/>
        </w:rPr>
        <w:t>Police Practice and Research</w:t>
      </w:r>
      <w:r>
        <w:rPr>
          <w:color w:val="222222"/>
          <w:shd w:val="clear" w:color="auto" w:fill="FFFFFF"/>
        </w:rPr>
        <w:t xml:space="preserve">, </w:t>
      </w:r>
      <w:r w:rsidRPr="0075022D">
        <w:rPr>
          <w:i/>
          <w:iCs/>
          <w:color w:val="222222"/>
          <w:shd w:val="clear" w:color="auto" w:fill="FFFFFF"/>
        </w:rPr>
        <w:t>23</w:t>
      </w:r>
      <w:r>
        <w:rPr>
          <w:color w:val="222222"/>
          <w:shd w:val="clear" w:color="auto" w:fill="FFFFFF"/>
        </w:rPr>
        <w:t>(4), 444–457</w:t>
      </w:r>
      <w:r w:rsidRPr="00722811">
        <w:rPr>
          <w:color w:val="222222"/>
          <w:shd w:val="clear" w:color="auto" w:fill="FFFFFF"/>
        </w:rPr>
        <w:t xml:space="preserve">. </w:t>
      </w:r>
      <w:hyperlink r:id="rId12" w:history="1">
        <w:r w:rsidRPr="00722811">
          <w:rPr>
            <w:rStyle w:val="Hyperlink"/>
            <w:shd w:val="clear" w:color="auto" w:fill="FFFFFF"/>
          </w:rPr>
          <w:t>https://doi.org/10.1080/15614263.2021.2022480</w:t>
        </w:r>
      </w:hyperlink>
      <w:r w:rsidRPr="00722811">
        <w:rPr>
          <w:color w:val="222222"/>
          <w:shd w:val="clear" w:color="auto" w:fill="FFFFFF"/>
        </w:rPr>
        <w:t xml:space="preserve"> </w:t>
      </w:r>
    </w:p>
    <w:p w14:paraId="001FB89D" w14:textId="674BFADD" w:rsidR="00D7788D" w:rsidRPr="00722811" w:rsidRDefault="00D7788D" w:rsidP="006F52C4">
      <w:pPr>
        <w:pStyle w:val="biblio-entry"/>
        <w:autoSpaceDE w:val="0"/>
        <w:autoSpaceDN w:val="0"/>
        <w:adjustRightInd w:val="0"/>
        <w:rPr>
          <w:rStyle w:val="bibsurname"/>
          <w:rFonts w:eastAsia="Times New Roman"/>
          <w:i/>
          <w:iCs/>
          <w:szCs w:val="24"/>
          <w:shd w:val="clear" w:color="auto" w:fill="auto"/>
        </w:rPr>
      </w:pPr>
      <w:r w:rsidRPr="00722811">
        <w:rPr>
          <w:rStyle w:val="bibsurname"/>
          <w:rFonts w:eastAsia="Times New Roman"/>
          <w:shd w:val="clear" w:color="auto" w:fill="auto"/>
        </w:rPr>
        <w:t>Scott, T., &amp; Wellford, C. (</w:t>
      </w:r>
      <w:r w:rsidR="00BB4043" w:rsidRPr="00722811">
        <w:rPr>
          <w:rStyle w:val="bibsurname"/>
          <w:rFonts w:eastAsia="Times New Roman"/>
          <w:shd w:val="clear" w:color="auto" w:fill="auto"/>
        </w:rPr>
        <w:t>2021</w:t>
      </w:r>
      <w:r w:rsidRPr="00722811">
        <w:rPr>
          <w:rStyle w:val="bibsurname"/>
          <w:rFonts w:eastAsia="Times New Roman"/>
          <w:shd w:val="clear" w:color="auto" w:fill="auto"/>
        </w:rPr>
        <w:t xml:space="preserve">). Improving the clearance of serious crime: The case of aggravated assault. </w:t>
      </w:r>
      <w:r w:rsidRPr="00722811">
        <w:rPr>
          <w:rStyle w:val="bibsurname"/>
          <w:rFonts w:eastAsia="Times New Roman"/>
          <w:i/>
          <w:iCs/>
          <w:shd w:val="clear" w:color="auto" w:fill="auto"/>
        </w:rPr>
        <w:t>Policing: An International Journa</w:t>
      </w:r>
      <w:r w:rsidR="00BB4043" w:rsidRPr="00722811">
        <w:rPr>
          <w:rStyle w:val="bibsurname"/>
          <w:rFonts w:eastAsia="Times New Roman"/>
          <w:i/>
          <w:iCs/>
          <w:shd w:val="clear" w:color="auto" w:fill="auto"/>
        </w:rPr>
        <w:t>l, 44</w:t>
      </w:r>
      <w:r w:rsidR="00BB4043" w:rsidRPr="00722811">
        <w:rPr>
          <w:rStyle w:val="bibsurname"/>
          <w:rFonts w:eastAsia="Times New Roman"/>
          <w:shd w:val="clear" w:color="auto" w:fill="auto"/>
        </w:rPr>
        <w:t>(4), 560</w:t>
      </w:r>
      <w:r w:rsidR="00F922CE" w:rsidRPr="00722811">
        <w:rPr>
          <w:rStyle w:val="bibsurname"/>
          <w:rFonts w:eastAsia="Times New Roman"/>
          <w:shd w:val="clear" w:color="auto" w:fill="auto"/>
        </w:rPr>
        <w:t>–</w:t>
      </w:r>
      <w:r w:rsidR="00BB4043" w:rsidRPr="00722811">
        <w:rPr>
          <w:rStyle w:val="bibsurname"/>
          <w:rFonts w:eastAsia="Times New Roman"/>
          <w:shd w:val="clear" w:color="auto" w:fill="auto"/>
        </w:rPr>
        <w:t>576.</w:t>
      </w:r>
      <w:r w:rsidR="005C4FFA" w:rsidRPr="00722811">
        <w:rPr>
          <w:rStyle w:val="bibsurname"/>
          <w:rFonts w:eastAsia="Times New Roman"/>
          <w:shd w:val="clear" w:color="auto" w:fill="auto"/>
        </w:rPr>
        <w:t xml:space="preserve"> </w:t>
      </w:r>
      <w:hyperlink r:id="rId13" w:tooltip="DOI: https://doi.org/10.1108/PIJPSM-02-2021-0025" w:history="1">
        <w:r w:rsidR="005C4FFA" w:rsidRPr="00722811">
          <w:rPr>
            <w:rStyle w:val="Hyperlink"/>
          </w:rPr>
          <w:t>https://doi.org/10.1108/PIJPSM-02-2021-0025</w:t>
        </w:r>
      </w:hyperlink>
      <w:r w:rsidR="005C4FFA" w:rsidRPr="00722811" w:rsidDel="00BB4043">
        <w:rPr>
          <w:rStyle w:val="bibsurname"/>
          <w:rFonts w:eastAsia="Times New Roman"/>
          <w:i/>
          <w:iCs/>
          <w:color w:val="0070C0"/>
          <w:szCs w:val="24"/>
          <w:shd w:val="clear" w:color="auto" w:fill="auto"/>
        </w:rPr>
        <w:t xml:space="preserve"> </w:t>
      </w:r>
    </w:p>
    <w:p w14:paraId="0878A957" w14:textId="01104DEB" w:rsidR="00D7788D" w:rsidRPr="00722811" w:rsidRDefault="00D7788D" w:rsidP="006F52C4">
      <w:pPr>
        <w:pStyle w:val="biblio-entry"/>
        <w:autoSpaceDE w:val="0"/>
        <w:autoSpaceDN w:val="0"/>
        <w:adjustRightInd w:val="0"/>
        <w:rPr>
          <w:rStyle w:val="bibsurname"/>
          <w:rFonts w:eastAsia="Times New Roman"/>
          <w:i/>
          <w:iCs/>
          <w:szCs w:val="24"/>
          <w:shd w:val="clear" w:color="auto" w:fill="auto"/>
        </w:rPr>
      </w:pPr>
      <w:r w:rsidRPr="00722811">
        <w:rPr>
          <w:rStyle w:val="bibsurname"/>
          <w:rFonts w:eastAsia="Times New Roman"/>
          <w:szCs w:val="24"/>
          <w:shd w:val="clear" w:color="auto" w:fill="auto"/>
        </w:rPr>
        <w:t>Markey, J.</w:t>
      </w:r>
      <w:r w:rsidRPr="00722811">
        <w:rPr>
          <w:rStyle w:val="bibsurname"/>
          <w:rFonts w:eastAsia="Times New Roman"/>
          <w:i/>
          <w:iCs/>
          <w:szCs w:val="24"/>
          <w:shd w:val="clear" w:color="auto" w:fill="auto"/>
        </w:rPr>
        <w:t xml:space="preserve">, </w:t>
      </w:r>
      <w:r w:rsidRPr="00722811">
        <w:rPr>
          <w:rStyle w:val="bibsurname"/>
          <w:rFonts w:eastAsia="Times New Roman"/>
          <w:szCs w:val="24"/>
          <w:shd w:val="clear" w:color="auto" w:fill="auto"/>
        </w:rPr>
        <w:t>Scott, T., Daye, C., &amp; Strom, K. (</w:t>
      </w:r>
      <w:r w:rsidR="00BB4043" w:rsidRPr="00722811">
        <w:rPr>
          <w:rStyle w:val="bibsurname"/>
          <w:rFonts w:eastAsia="Times New Roman"/>
          <w:szCs w:val="24"/>
          <w:shd w:val="clear" w:color="auto" w:fill="auto"/>
        </w:rPr>
        <w:t>2021</w:t>
      </w:r>
      <w:r w:rsidRPr="00722811">
        <w:rPr>
          <w:rStyle w:val="bibsurname"/>
          <w:rFonts w:eastAsia="Times New Roman"/>
          <w:szCs w:val="24"/>
          <w:shd w:val="clear" w:color="auto" w:fill="auto"/>
        </w:rPr>
        <w:t xml:space="preserve">). </w:t>
      </w:r>
      <w:r w:rsidR="005537F0" w:rsidRPr="00722811">
        <w:rPr>
          <w:rStyle w:val="bibsurname"/>
          <w:rFonts w:eastAsia="Times New Roman"/>
          <w:szCs w:val="24"/>
          <w:shd w:val="clear" w:color="auto" w:fill="auto"/>
        </w:rPr>
        <w:t xml:space="preserve">Sexual assault investigations and the factors that contribute to a suspect’s arrest. </w:t>
      </w:r>
      <w:r w:rsidR="005537F0" w:rsidRPr="00722811">
        <w:rPr>
          <w:rStyle w:val="bibsurname"/>
          <w:rFonts w:eastAsia="Times New Roman"/>
          <w:i/>
          <w:iCs/>
          <w:szCs w:val="24"/>
          <w:shd w:val="clear" w:color="auto" w:fill="auto"/>
        </w:rPr>
        <w:t>Policing: An International Journa</w:t>
      </w:r>
      <w:r w:rsidR="00BB4043" w:rsidRPr="00722811">
        <w:rPr>
          <w:rStyle w:val="bibsurname"/>
          <w:rFonts w:eastAsia="Times New Roman"/>
          <w:i/>
          <w:iCs/>
          <w:szCs w:val="24"/>
          <w:shd w:val="clear" w:color="auto" w:fill="auto"/>
        </w:rPr>
        <w:t>l, 44</w:t>
      </w:r>
      <w:r w:rsidR="00BB4043" w:rsidRPr="00722811">
        <w:rPr>
          <w:rStyle w:val="bibsurname"/>
          <w:rFonts w:eastAsia="Times New Roman"/>
          <w:szCs w:val="24"/>
          <w:shd w:val="clear" w:color="auto" w:fill="auto"/>
        </w:rPr>
        <w:t>(4), 591</w:t>
      </w:r>
      <w:r w:rsidR="00F922CE" w:rsidRPr="00722811">
        <w:rPr>
          <w:rStyle w:val="bibsurname"/>
          <w:rFonts w:eastAsia="Times New Roman"/>
          <w:szCs w:val="24"/>
          <w:shd w:val="clear" w:color="auto" w:fill="auto"/>
        </w:rPr>
        <w:t>–</w:t>
      </w:r>
      <w:r w:rsidR="00BB4043" w:rsidRPr="00722811">
        <w:rPr>
          <w:rStyle w:val="bibsurname"/>
          <w:rFonts w:eastAsia="Times New Roman"/>
          <w:szCs w:val="24"/>
          <w:shd w:val="clear" w:color="auto" w:fill="auto"/>
        </w:rPr>
        <w:t>611.</w:t>
      </w:r>
      <w:r w:rsidR="005C4FFA" w:rsidRPr="00722811">
        <w:rPr>
          <w:rStyle w:val="bibsurname"/>
          <w:rFonts w:eastAsia="Times New Roman"/>
          <w:i/>
          <w:iCs/>
          <w:szCs w:val="24"/>
          <w:shd w:val="clear" w:color="auto" w:fill="auto"/>
        </w:rPr>
        <w:t xml:space="preserve"> </w:t>
      </w:r>
      <w:hyperlink r:id="rId14" w:tooltip="DOI: https://doi.org/10.1108/PIJPSM-03-2021-0051" w:history="1">
        <w:r w:rsidR="005C4FFA" w:rsidRPr="00722811">
          <w:rPr>
            <w:rStyle w:val="Hyperlink"/>
          </w:rPr>
          <w:t>https://doi.org/10.1108/PIJPSM-03-2021-0051</w:t>
        </w:r>
      </w:hyperlink>
    </w:p>
    <w:p w14:paraId="026FC3D6" w14:textId="19F4A184" w:rsidR="0092237F" w:rsidRPr="00722811" w:rsidRDefault="0092237F" w:rsidP="006F52C4">
      <w:pPr>
        <w:pStyle w:val="biblio-entry"/>
        <w:autoSpaceDE w:val="0"/>
        <w:autoSpaceDN w:val="0"/>
        <w:adjustRightInd w:val="0"/>
        <w:rPr>
          <w:rStyle w:val="Hyperlink"/>
          <w:rFonts w:eastAsia="Times New Roman"/>
          <w:szCs w:val="24"/>
        </w:rPr>
      </w:pPr>
      <w:r w:rsidRPr="00722811">
        <w:rPr>
          <w:rStyle w:val="bibsurname"/>
          <w:rFonts w:eastAsia="Times New Roman"/>
          <w:szCs w:val="24"/>
          <w:shd w:val="clear" w:color="auto" w:fill="auto"/>
        </w:rPr>
        <w:t>Strom, K., Scott, T., Feeney, H., Young, A., Couzens, L., &amp; Berzofsky, M. (202</w:t>
      </w:r>
      <w:r w:rsidR="005C4FFA" w:rsidRPr="00722811">
        <w:rPr>
          <w:rStyle w:val="bibsurname"/>
          <w:rFonts w:eastAsia="Times New Roman"/>
          <w:szCs w:val="24"/>
          <w:shd w:val="clear" w:color="auto" w:fill="auto"/>
        </w:rPr>
        <w:t>1</w:t>
      </w:r>
      <w:r w:rsidRPr="00722811">
        <w:rPr>
          <w:rStyle w:val="bibsurname"/>
          <w:rFonts w:eastAsia="Times New Roman"/>
          <w:szCs w:val="24"/>
          <w:shd w:val="clear" w:color="auto" w:fill="auto"/>
        </w:rPr>
        <w:t>). How much justice is denied? An estimate of unsubmitted sexual assault kits in the United States.</w:t>
      </w:r>
      <w:r w:rsidRPr="00722811">
        <w:rPr>
          <w:rStyle w:val="bibsurname"/>
          <w:rFonts w:eastAsia="Times New Roman"/>
          <w:i/>
          <w:iCs/>
          <w:szCs w:val="24"/>
          <w:shd w:val="clear" w:color="auto" w:fill="auto"/>
        </w:rPr>
        <w:t xml:space="preserve"> Journal of Criminal Justice</w:t>
      </w:r>
      <w:r w:rsidR="005C4FFA" w:rsidRPr="00722811">
        <w:rPr>
          <w:rStyle w:val="bibsurname"/>
          <w:rFonts w:eastAsia="Times New Roman"/>
          <w:i/>
          <w:iCs/>
          <w:szCs w:val="24"/>
          <w:shd w:val="clear" w:color="auto" w:fill="auto"/>
        </w:rPr>
        <w:t>, 73,</w:t>
      </w:r>
      <w:r w:rsidR="005C4FFA" w:rsidRPr="00722811">
        <w:rPr>
          <w:rStyle w:val="bibsurname"/>
          <w:rFonts w:eastAsia="Times New Roman"/>
          <w:szCs w:val="24"/>
          <w:shd w:val="clear" w:color="auto" w:fill="auto"/>
        </w:rPr>
        <w:t xml:space="preserve"> </w:t>
      </w:r>
      <w:r w:rsidR="00734597" w:rsidRPr="00722811">
        <w:rPr>
          <w:rStyle w:val="bibsurname"/>
          <w:rFonts w:eastAsia="Times New Roman"/>
          <w:szCs w:val="24"/>
          <w:shd w:val="clear" w:color="auto" w:fill="auto"/>
        </w:rPr>
        <w:t xml:space="preserve">Article </w:t>
      </w:r>
      <w:r w:rsidR="005C4FFA" w:rsidRPr="00722811">
        <w:rPr>
          <w:rStyle w:val="bibsurname"/>
          <w:rFonts w:eastAsia="Times New Roman"/>
          <w:szCs w:val="24"/>
          <w:shd w:val="clear" w:color="auto" w:fill="auto"/>
        </w:rPr>
        <w:t>101746</w:t>
      </w:r>
      <w:r w:rsidRPr="00722811">
        <w:rPr>
          <w:rStyle w:val="bibsurname"/>
          <w:rFonts w:eastAsia="Times New Roman"/>
          <w:szCs w:val="24"/>
          <w:shd w:val="clear" w:color="auto" w:fill="auto"/>
        </w:rPr>
        <w:t xml:space="preserve">. </w:t>
      </w:r>
      <w:hyperlink r:id="rId15" w:history="1">
        <w:r w:rsidRPr="00722811">
          <w:rPr>
            <w:rStyle w:val="Hyperlink"/>
            <w:rFonts w:eastAsia="Times New Roman"/>
            <w:szCs w:val="24"/>
          </w:rPr>
          <w:t>https://doi.org/10.1016/j.jcrimjus.2020.101746</w:t>
        </w:r>
      </w:hyperlink>
    </w:p>
    <w:p w14:paraId="49FBA057" w14:textId="3CADDAB7" w:rsidR="00A418C6" w:rsidRPr="00722811" w:rsidRDefault="00A418C6" w:rsidP="006F52C4">
      <w:pPr>
        <w:pStyle w:val="biblio-entry"/>
        <w:autoSpaceDE w:val="0"/>
        <w:autoSpaceDN w:val="0"/>
        <w:adjustRightInd w:val="0"/>
        <w:rPr>
          <w:rStyle w:val="bibsurname"/>
          <w:rFonts w:eastAsia="Times New Roman"/>
          <w:szCs w:val="24"/>
          <w:shd w:val="clear" w:color="auto" w:fill="auto"/>
        </w:rPr>
      </w:pPr>
      <w:r w:rsidRPr="00722811">
        <w:rPr>
          <w:rFonts w:eastAsia="Times New Roman"/>
          <w:szCs w:val="24"/>
        </w:rPr>
        <w:lastRenderedPageBreak/>
        <w:t>Scott, T. L. (2021). Phy</w:t>
      </w:r>
      <w:r w:rsidRPr="00722811">
        <w:rPr>
          <w:rFonts w:eastAsia="Times New Roman"/>
        </w:rPr>
        <w:t xml:space="preserve">sical security and correctional disorder: A quantitative test. </w:t>
      </w:r>
      <w:r w:rsidRPr="00722811">
        <w:rPr>
          <w:rFonts w:eastAsia="Times New Roman"/>
          <w:i/>
        </w:rPr>
        <w:t>Corrections,</w:t>
      </w:r>
      <w:r w:rsidRPr="00722811">
        <w:rPr>
          <w:rFonts w:eastAsia="Times New Roman"/>
          <w:iCs/>
        </w:rPr>
        <w:t xml:space="preserve"> </w:t>
      </w:r>
      <w:r w:rsidRPr="00722811">
        <w:rPr>
          <w:i/>
        </w:rPr>
        <w:t>6</w:t>
      </w:r>
      <w:r w:rsidRPr="00722811">
        <w:rPr>
          <w:rFonts w:eastAsia="Times New Roman"/>
          <w:iCs/>
        </w:rPr>
        <w:t>(2), 150</w:t>
      </w:r>
      <w:r w:rsidR="00734597" w:rsidRPr="00722811">
        <w:rPr>
          <w:rFonts w:eastAsia="Times New Roman"/>
          <w:iCs/>
        </w:rPr>
        <w:t>–</w:t>
      </w:r>
      <w:r w:rsidRPr="00722811">
        <w:rPr>
          <w:rFonts w:eastAsia="Times New Roman"/>
          <w:iCs/>
        </w:rPr>
        <w:t>170.</w:t>
      </w:r>
      <w:r w:rsidRPr="00722811">
        <w:rPr>
          <w:rFonts w:eastAsia="Times New Roman"/>
          <w:i/>
        </w:rPr>
        <w:t xml:space="preserve"> </w:t>
      </w:r>
      <w:hyperlink r:id="rId16" w:history="1">
        <w:r w:rsidRPr="00722811">
          <w:rPr>
            <w:rStyle w:val="Hyperlink"/>
          </w:rPr>
          <w:t>https://doi.org/10.1080/23774657.2019.1602488</w:t>
        </w:r>
      </w:hyperlink>
    </w:p>
    <w:p w14:paraId="4B58DAB0" w14:textId="45EF4B8C" w:rsidR="006F52C4" w:rsidRPr="00722811" w:rsidRDefault="00A61A0D" w:rsidP="006F52C4">
      <w:pPr>
        <w:pStyle w:val="biblio-entry"/>
        <w:autoSpaceDE w:val="0"/>
        <w:autoSpaceDN w:val="0"/>
        <w:adjustRightInd w:val="0"/>
        <w:rPr>
          <w:rStyle w:val="Hyperlink"/>
          <w:shd w:val="clear" w:color="auto" w:fill="FFFFFF"/>
        </w:rPr>
      </w:pPr>
      <w:r w:rsidRPr="00722811">
        <w:rPr>
          <w:rStyle w:val="bibsurname"/>
          <w:rFonts w:eastAsia="Times New Roman"/>
          <w:szCs w:val="24"/>
          <w:shd w:val="clear" w:color="auto" w:fill="auto"/>
        </w:rPr>
        <w:t>Wellford</w:t>
      </w:r>
      <w:r w:rsidRPr="00722811">
        <w:rPr>
          <w:rFonts w:eastAsia="Times New Roman"/>
          <w:szCs w:val="24"/>
        </w:rPr>
        <w:t xml:space="preserve">, </w:t>
      </w:r>
      <w:r w:rsidRPr="00722811">
        <w:rPr>
          <w:rStyle w:val="bibfname"/>
          <w:rFonts w:eastAsia="Times New Roman"/>
          <w:szCs w:val="24"/>
          <w:shd w:val="clear" w:color="auto" w:fill="auto"/>
        </w:rPr>
        <w:t>C.</w:t>
      </w:r>
      <w:r w:rsidRPr="00722811">
        <w:rPr>
          <w:rFonts w:eastAsia="Times New Roman"/>
          <w:szCs w:val="24"/>
        </w:rPr>
        <w:t xml:space="preserve">, </w:t>
      </w:r>
      <w:r w:rsidRPr="00722811">
        <w:rPr>
          <w:rStyle w:val="bibsurname"/>
          <w:rFonts w:eastAsia="Times New Roman"/>
          <w:szCs w:val="24"/>
          <w:shd w:val="clear" w:color="auto" w:fill="auto"/>
        </w:rPr>
        <w:t>Lum</w:t>
      </w:r>
      <w:r w:rsidRPr="00722811">
        <w:rPr>
          <w:rFonts w:eastAsia="Times New Roman"/>
          <w:szCs w:val="24"/>
        </w:rPr>
        <w:t xml:space="preserve">, </w:t>
      </w:r>
      <w:r w:rsidRPr="00722811">
        <w:rPr>
          <w:rStyle w:val="bibfname"/>
          <w:rFonts w:eastAsia="Times New Roman"/>
          <w:szCs w:val="24"/>
          <w:shd w:val="clear" w:color="auto" w:fill="auto"/>
        </w:rPr>
        <w:t>C.</w:t>
      </w:r>
      <w:r w:rsidRPr="00722811">
        <w:rPr>
          <w:rFonts w:eastAsia="Times New Roman"/>
          <w:szCs w:val="24"/>
        </w:rPr>
        <w:t xml:space="preserve">, </w:t>
      </w:r>
      <w:r w:rsidRPr="00722811">
        <w:rPr>
          <w:rStyle w:val="bibsurname"/>
          <w:rFonts w:eastAsia="Times New Roman"/>
          <w:szCs w:val="24"/>
          <w:shd w:val="clear" w:color="auto" w:fill="auto"/>
        </w:rPr>
        <w:t>Scott</w:t>
      </w:r>
      <w:r w:rsidRPr="00722811">
        <w:rPr>
          <w:rFonts w:eastAsia="Times New Roman"/>
          <w:szCs w:val="24"/>
        </w:rPr>
        <w:t xml:space="preserve">, </w:t>
      </w:r>
      <w:r w:rsidRPr="00722811">
        <w:rPr>
          <w:rStyle w:val="bibfname"/>
          <w:rFonts w:eastAsia="Times New Roman"/>
          <w:szCs w:val="24"/>
          <w:shd w:val="clear" w:color="auto" w:fill="auto"/>
        </w:rPr>
        <w:t>T. L.</w:t>
      </w:r>
      <w:r w:rsidRPr="00722811">
        <w:rPr>
          <w:rFonts w:eastAsia="Times New Roman"/>
          <w:szCs w:val="24"/>
        </w:rPr>
        <w:t xml:space="preserve">, </w:t>
      </w:r>
      <w:r w:rsidRPr="00722811">
        <w:rPr>
          <w:rStyle w:val="bibsurname"/>
          <w:rFonts w:eastAsia="Times New Roman"/>
          <w:shd w:val="clear" w:color="auto" w:fill="auto"/>
        </w:rPr>
        <w:t>Vovak</w:t>
      </w:r>
      <w:r w:rsidRPr="00722811">
        <w:rPr>
          <w:rFonts w:eastAsia="Times New Roman"/>
        </w:rPr>
        <w:t xml:space="preserve">, </w:t>
      </w:r>
      <w:r w:rsidRPr="00722811">
        <w:rPr>
          <w:rStyle w:val="bibfname"/>
          <w:rFonts w:eastAsia="Times New Roman"/>
          <w:shd w:val="clear" w:color="auto" w:fill="auto"/>
        </w:rPr>
        <w:t>H.</w:t>
      </w:r>
      <w:r w:rsidRPr="00722811">
        <w:rPr>
          <w:rFonts w:eastAsia="Times New Roman"/>
        </w:rPr>
        <w:t xml:space="preserve">, &amp; </w:t>
      </w:r>
      <w:r w:rsidRPr="00722811">
        <w:rPr>
          <w:rStyle w:val="bibsurname"/>
          <w:rFonts w:eastAsia="Times New Roman"/>
          <w:shd w:val="clear" w:color="auto" w:fill="auto"/>
        </w:rPr>
        <w:t>Scherer</w:t>
      </w:r>
      <w:r w:rsidRPr="00722811">
        <w:rPr>
          <w:rFonts w:eastAsia="Times New Roman"/>
        </w:rPr>
        <w:t xml:space="preserve">, </w:t>
      </w:r>
      <w:r w:rsidRPr="00722811">
        <w:rPr>
          <w:rStyle w:val="bibfname"/>
          <w:rFonts w:eastAsia="Times New Roman"/>
          <w:shd w:val="clear" w:color="auto" w:fill="auto"/>
        </w:rPr>
        <w:t>A.</w:t>
      </w:r>
      <w:r w:rsidRPr="00722811">
        <w:rPr>
          <w:rFonts w:eastAsia="Times New Roman"/>
        </w:rPr>
        <w:t xml:space="preserve"> (</w:t>
      </w:r>
      <w:r w:rsidR="006F52C4" w:rsidRPr="00722811">
        <w:rPr>
          <w:rStyle w:val="bibyear"/>
          <w:rFonts w:eastAsia="Times New Roman"/>
          <w:shd w:val="clear" w:color="auto" w:fill="auto"/>
        </w:rPr>
        <w:t>2019</w:t>
      </w:r>
      <w:r w:rsidRPr="00722811">
        <w:rPr>
          <w:rFonts w:eastAsia="Times New Roman"/>
        </w:rPr>
        <w:t xml:space="preserve">). </w:t>
      </w:r>
      <w:r w:rsidRPr="00722811">
        <w:rPr>
          <w:rStyle w:val="bibarticle"/>
          <w:rFonts w:eastAsia="Times New Roman"/>
          <w:shd w:val="clear" w:color="auto" w:fill="auto"/>
        </w:rPr>
        <w:t>Clearing homicides: The role of organizational, case, and investigative dimensions.</w:t>
      </w:r>
      <w:r w:rsidRPr="00722811">
        <w:rPr>
          <w:rFonts w:eastAsia="Times New Roman"/>
        </w:rPr>
        <w:t xml:space="preserve"> </w:t>
      </w:r>
      <w:r w:rsidRPr="00722811">
        <w:rPr>
          <w:rStyle w:val="bibjournal"/>
          <w:rFonts w:eastAsia="Times New Roman"/>
          <w:i/>
          <w:shd w:val="clear" w:color="auto" w:fill="auto"/>
        </w:rPr>
        <w:t>Criminology &amp; Public Policy</w:t>
      </w:r>
      <w:r w:rsidR="006F52C4" w:rsidRPr="00722811">
        <w:rPr>
          <w:rStyle w:val="bibjournal"/>
          <w:rFonts w:eastAsia="Times New Roman"/>
          <w:i/>
          <w:shd w:val="clear" w:color="auto" w:fill="auto"/>
        </w:rPr>
        <w:t>, 18</w:t>
      </w:r>
      <w:r w:rsidR="003747AD" w:rsidRPr="00722811">
        <w:rPr>
          <w:rStyle w:val="bibjournal"/>
          <w:rFonts w:eastAsia="Times New Roman"/>
          <w:i/>
          <w:shd w:val="clear" w:color="auto" w:fill="auto"/>
        </w:rPr>
        <w:t>,</w:t>
      </w:r>
      <w:r w:rsidR="006F52C4" w:rsidRPr="00722811">
        <w:rPr>
          <w:rStyle w:val="bibjournal"/>
          <w:rFonts w:eastAsia="Times New Roman"/>
          <w:iCs/>
          <w:shd w:val="clear" w:color="auto" w:fill="auto"/>
        </w:rPr>
        <w:t xml:space="preserve"> 553</w:t>
      </w:r>
      <w:r w:rsidR="003747AD" w:rsidRPr="00722811">
        <w:rPr>
          <w:rStyle w:val="bibjournal"/>
          <w:rFonts w:eastAsia="Times New Roman"/>
          <w:iCs/>
          <w:shd w:val="clear" w:color="auto" w:fill="auto"/>
        </w:rPr>
        <w:t>–</w:t>
      </w:r>
      <w:r w:rsidR="006F52C4" w:rsidRPr="00722811">
        <w:rPr>
          <w:rStyle w:val="bibjournal"/>
          <w:rFonts w:eastAsia="Times New Roman"/>
          <w:iCs/>
          <w:shd w:val="clear" w:color="auto" w:fill="auto"/>
        </w:rPr>
        <w:t>600</w:t>
      </w:r>
      <w:r w:rsidRPr="00722811">
        <w:rPr>
          <w:rFonts w:eastAsia="Times New Roman"/>
        </w:rPr>
        <w:t>.</w:t>
      </w:r>
      <w:r w:rsidR="006F52C4" w:rsidRPr="00722811">
        <w:t xml:space="preserve"> </w:t>
      </w:r>
      <w:hyperlink r:id="rId17" w:history="1">
        <w:r w:rsidR="006F52C4" w:rsidRPr="00722811">
          <w:rPr>
            <w:rStyle w:val="Hyperlink"/>
            <w:shd w:val="clear" w:color="auto" w:fill="FFFFFF"/>
          </w:rPr>
          <w:t>https://doi.org/10.1111/1745-9133.12449</w:t>
        </w:r>
      </w:hyperlink>
    </w:p>
    <w:p w14:paraId="08320504" w14:textId="015518DA" w:rsidR="000F7011" w:rsidRPr="00722811" w:rsidRDefault="000F7011" w:rsidP="000F7011">
      <w:pPr>
        <w:pStyle w:val="biblio-entry"/>
        <w:rPr>
          <w:szCs w:val="24"/>
        </w:rPr>
      </w:pPr>
      <w:r w:rsidRPr="00722811">
        <w:rPr>
          <w:szCs w:val="24"/>
        </w:rPr>
        <w:t xml:space="preserve">Scott, T. L., Wellford, C., Lum, C., &amp; Vovak, H. (2019). Variability of crime clearance among police agencies. </w:t>
      </w:r>
      <w:r w:rsidRPr="00722811">
        <w:rPr>
          <w:i/>
          <w:szCs w:val="24"/>
        </w:rPr>
        <w:t>Police Quarterly, 22</w:t>
      </w:r>
      <w:r w:rsidRPr="00722811">
        <w:rPr>
          <w:szCs w:val="24"/>
        </w:rPr>
        <w:t xml:space="preserve">(1), 82–111. </w:t>
      </w:r>
      <w:hyperlink r:id="rId18" w:history="1">
        <w:r w:rsidRPr="00722811">
          <w:rPr>
            <w:rStyle w:val="Hyperlink"/>
            <w:szCs w:val="24"/>
          </w:rPr>
          <w:t>https://doi.org/10.1177/1098611118796597</w:t>
        </w:r>
      </w:hyperlink>
    </w:p>
    <w:p w14:paraId="278130B4" w14:textId="5245290E" w:rsidR="00A61A0D" w:rsidRPr="00722811" w:rsidRDefault="00A61A0D" w:rsidP="009D25C7">
      <w:pPr>
        <w:pStyle w:val="biblio-entry"/>
        <w:autoSpaceDE w:val="0"/>
        <w:autoSpaceDN w:val="0"/>
        <w:adjustRightInd w:val="0"/>
        <w:rPr>
          <w:rFonts w:eastAsia="Times New Roman"/>
          <w:szCs w:val="24"/>
        </w:rPr>
      </w:pPr>
      <w:r w:rsidRPr="00722811">
        <w:rPr>
          <w:rStyle w:val="bibsurname"/>
          <w:rFonts w:eastAsia="Times New Roman"/>
          <w:szCs w:val="24"/>
          <w:shd w:val="clear" w:color="auto" w:fill="auto"/>
        </w:rPr>
        <w:t>Collins</w:t>
      </w:r>
      <w:r w:rsidRPr="00722811">
        <w:rPr>
          <w:rFonts w:eastAsia="Times New Roman"/>
          <w:szCs w:val="24"/>
        </w:rPr>
        <w:t xml:space="preserve">, </w:t>
      </w:r>
      <w:r w:rsidRPr="00722811">
        <w:rPr>
          <w:rStyle w:val="bibfname"/>
          <w:rFonts w:eastAsia="Times New Roman"/>
          <w:szCs w:val="24"/>
          <w:shd w:val="clear" w:color="auto" w:fill="auto"/>
        </w:rPr>
        <w:t>M. E.</w:t>
      </w:r>
      <w:r w:rsidRPr="00722811">
        <w:rPr>
          <w:rFonts w:eastAsia="Times New Roman"/>
          <w:szCs w:val="24"/>
        </w:rPr>
        <w:t xml:space="preserve">, </w:t>
      </w:r>
      <w:r w:rsidRPr="00722811">
        <w:rPr>
          <w:rStyle w:val="bibsurname"/>
          <w:rFonts w:eastAsia="Times New Roman"/>
          <w:szCs w:val="24"/>
          <w:shd w:val="clear" w:color="auto" w:fill="auto"/>
        </w:rPr>
        <w:t>Parker</w:t>
      </w:r>
      <w:r w:rsidRPr="00722811">
        <w:rPr>
          <w:rFonts w:eastAsia="Times New Roman"/>
          <w:szCs w:val="24"/>
        </w:rPr>
        <w:t xml:space="preserve">, </w:t>
      </w:r>
      <w:r w:rsidRPr="00722811">
        <w:rPr>
          <w:rStyle w:val="bibfname"/>
          <w:rFonts w:eastAsia="Times New Roman"/>
          <w:szCs w:val="24"/>
          <w:shd w:val="clear" w:color="auto" w:fill="auto"/>
        </w:rPr>
        <w:t>S. P.</w:t>
      </w:r>
      <w:r w:rsidRPr="00722811">
        <w:rPr>
          <w:rFonts w:eastAsia="Times New Roman"/>
          <w:szCs w:val="24"/>
        </w:rPr>
        <w:t xml:space="preserve">, </w:t>
      </w:r>
      <w:r w:rsidRPr="00722811">
        <w:rPr>
          <w:rStyle w:val="bibsurname"/>
          <w:rFonts w:eastAsia="Times New Roman"/>
          <w:szCs w:val="24"/>
          <w:shd w:val="clear" w:color="auto" w:fill="auto"/>
        </w:rPr>
        <w:t>Scott</w:t>
      </w:r>
      <w:r w:rsidRPr="00722811">
        <w:rPr>
          <w:rFonts w:eastAsia="Times New Roman"/>
          <w:szCs w:val="24"/>
        </w:rPr>
        <w:t xml:space="preserve">, </w:t>
      </w:r>
      <w:r w:rsidRPr="00722811">
        <w:rPr>
          <w:rStyle w:val="bibfname"/>
          <w:rFonts w:eastAsia="Times New Roman"/>
          <w:szCs w:val="24"/>
          <w:shd w:val="clear" w:color="auto" w:fill="auto"/>
        </w:rPr>
        <w:t>T. L.</w:t>
      </w:r>
      <w:r w:rsidRPr="00722811">
        <w:rPr>
          <w:rFonts w:eastAsia="Times New Roman"/>
          <w:szCs w:val="24"/>
        </w:rPr>
        <w:t xml:space="preserve">, &amp; </w:t>
      </w:r>
      <w:r w:rsidRPr="00722811">
        <w:rPr>
          <w:rStyle w:val="bibsurname"/>
          <w:rFonts w:eastAsia="Times New Roman"/>
          <w:szCs w:val="24"/>
          <w:shd w:val="clear" w:color="auto" w:fill="auto"/>
        </w:rPr>
        <w:t>Wellford</w:t>
      </w:r>
      <w:r w:rsidRPr="00722811">
        <w:rPr>
          <w:rFonts w:eastAsia="Times New Roman"/>
          <w:szCs w:val="24"/>
        </w:rPr>
        <w:t xml:space="preserve">, </w:t>
      </w:r>
      <w:r w:rsidRPr="00722811">
        <w:rPr>
          <w:rStyle w:val="bibfname"/>
          <w:rFonts w:eastAsia="Times New Roman"/>
          <w:szCs w:val="24"/>
          <w:shd w:val="clear" w:color="auto" w:fill="auto"/>
        </w:rPr>
        <w:t>C. F.</w:t>
      </w:r>
      <w:r w:rsidRPr="00722811">
        <w:rPr>
          <w:rFonts w:eastAsia="Times New Roman"/>
          <w:szCs w:val="24"/>
        </w:rPr>
        <w:t xml:space="preserve"> (</w:t>
      </w:r>
      <w:r w:rsidRPr="00722811">
        <w:rPr>
          <w:rStyle w:val="bibyear"/>
          <w:rFonts w:eastAsia="Times New Roman"/>
          <w:szCs w:val="24"/>
          <w:shd w:val="clear" w:color="auto" w:fill="auto"/>
        </w:rPr>
        <w:t>2017</w:t>
      </w:r>
      <w:r w:rsidRPr="00722811">
        <w:rPr>
          <w:rFonts w:eastAsia="Times New Roman"/>
          <w:szCs w:val="24"/>
        </w:rPr>
        <w:t xml:space="preserve">). </w:t>
      </w:r>
      <w:r w:rsidRPr="00722811">
        <w:rPr>
          <w:rStyle w:val="bibarticle"/>
          <w:rFonts w:eastAsia="Times New Roman"/>
          <w:szCs w:val="24"/>
          <w:shd w:val="clear" w:color="auto" w:fill="auto"/>
        </w:rPr>
        <w:t>A comparative analysis of crime guns: Implications for reducing gun violence.</w:t>
      </w:r>
      <w:r w:rsidRPr="00722811">
        <w:rPr>
          <w:rFonts w:eastAsia="Times New Roman"/>
          <w:szCs w:val="24"/>
        </w:rPr>
        <w:t xml:space="preserve"> </w:t>
      </w:r>
      <w:r w:rsidRPr="00722811">
        <w:rPr>
          <w:rStyle w:val="bibjournal"/>
          <w:rFonts w:eastAsia="Times New Roman"/>
          <w:i/>
          <w:szCs w:val="24"/>
          <w:shd w:val="clear" w:color="auto" w:fill="auto"/>
        </w:rPr>
        <w:t>Russell Sage Foundation Journal of the Social Sciences</w:t>
      </w:r>
      <w:r w:rsidR="0076663A" w:rsidRPr="00722811">
        <w:rPr>
          <w:rStyle w:val="bibjournal"/>
          <w:rFonts w:eastAsia="Times New Roman"/>
          <w:i/>
          <w:szCs w:val="24"/>
          <w:shd w:val="clear" w:color="auto" w:fill="auto"/>
        </w:rPr>
        <w:t>, 3</w:t>
      </w:r>
      <w:r w:rsidR="0076663A" w:rsidRPr="00722811">
        <w:rPr>
          <w:rStyle w:val="bibjournal"/>
          <w:rFonts w:eastAsia="Times New Roman"/>
          <w:szCs w:val="24"/>
          <w:shd w:val="clear" w:color="auto" w:fill="auto"/>
        </w:rPr>
        <w:t>(5), 96–127</w:t>
      </w:r>
      <w:r w:rsidRPr="00722811">
        <w:rPr>
          <w:rFonts w:eastAsia="Times New Roman"/>
          <w:szCs w:val="24"/>
        </w:rPr>
        <w:t>.</w:t>
      </w:r>
      <w:r w:rsidR="0076663A" w:rsidRPr="00722811">
        <w:rPr>
          <w:rFonts w:eastAsia="Times New Roman"/>
          <w:szCs w:val="24"/>
        </w:rPr>
        <w:t xml:space="preserve"> </w:t>
      </w:r>
      <w:hyperlink r:id="rId19" w:history="1">
        <w:r w:rsidR="0076663A" w:rsidRPr="00722811">
          <w:rPr>
            <w:rStyle w:val="Hyperlink"/>
            <w:rFonts w:eastAsia="Times New Roman"/>
            <w:szCs w:val="24"/>
          </w:rPr>
          <w:t>https://doi.org/10.7758/rsf.2017.3.5.05</w:t>
        </w:r>
      </w:hyperlink>
    </w:p>
    <w:p w14:paraId="223641BC" w14:textId="3ECA6905" w:rsidR="00A61A0D" w:rsidRPr="00722811" w:rsidRDefault="00A61A0D" w:rsidP="009D25C7">
      <w:pPr>
        <w:pStyle w:val="biblio-entry"/>
        <w:autoSpaceDE w:val="0"/>
        <w:autoSpaceDN w:val="0"/>
        <w:adjustRightInd w:val="0"/>
        <w:rPr>
          <w:rFonts w:eastAsia="Times New Roman"/>
          <w:szCs w:val="24"/>
        </w:rPr>
      </w:pPr>
      <w:r w:rsidRPr="00722811">
        <w:rPr>
          <w:rStyle w:val="bibsurname"/>
          <w:rFonts w:eastAsia="Times New Roman"/>
          <w:szCs w:val="24"/>
          <w:shd w:val="clear" w:color="auto" w:fill="auto"/>
        </w:rPr>
        <w:t>Weinstock</w:t>
      </w:r>
      <w:r w:rsidRPr="00722811">
        <w:rPr>
          <w:rFonts w:eastAsia="Times New Roman"/>
          <w:szCs w:val="24"/>
        </w:rPr>
        <w:t xml:space="preserve">, </w:t>
      </w:r>
      <w:r w:rsidRPr="00722811">
        <w:rPr>
          <w:rStyle w:val="bibfname"/>
          <w:rFonts w:eastAsia="Times New Roman"/>
          <w:szCs w:val="24"/>
          <w:shd w:val="clear" w:color="auto" w:fill="auto"/>
        </w:rPr>
        <w:t>J.</w:t>
      </w:r>
      <w:r w:rsidRPr="00722811">
        <w:rPr>
          <w:rFonts w:eastAsia="Times New Roman"/>
          <w:szCs w:val="24"/>
        </w:rPr>
        <w:t xml:space="preserve">, </w:t>
      </w:r>
      <w:r w:rsidRPr="00722811">
        <w:rPr>
          <w:rStyle w:val="bibsurname"/>
          <w:rFonts w:eastAsia="Times New Roman"/>
          <w:szCs w:val="24"/>
          <w:shd w:val="clear" w:color="auto" w:fill="auto"/>
        </w:rPr>
        <w:t>Scott</w:t>
      </w:r>
      <w:r w:rsidRPr="00722811">
        <w:rPr>
          <w:rFonts w:eastAsia="Times New Roman"/>
          <w:szCs w:val="24"/>
        </w:rPr>
        <w:t xml:space="preserve">, </w:t>
      </w:r>
      <w:r w:rsidRPr="00722811">
        <w:rPr>
          <w:rStyle w:val="bibfname"/>
          <w:rFonts w:eastAsia="Times New Roman"/>
          <w:szCs w:val="24"/>
          <w:shd w:val="clear" w:color="auto" w:fill="auto"/>
        </w:rPr>
        <w:t>T. L.</w:t>
      </w:r>
      <w:r w:rsidRPr="00722811">
        <w:rPr>
          <w:rFonts w:eastAsia="Times New Roman"/>
          <w:szCs w:val="24"/>
        </w:rPr>
        <w:t xml:space="preserve">, </w:t>
      </w:r>
      <w:r w:rsidRPr="00722811">
        <w:rPr>
          <w:rStyle w:val="bibsurname"/>
          <w:rFonts w:eastAsia="Times New Roman"/>
          <w:szCs w:val="24"/>
          <w:shd w:val="clear" w:color="auto" w:fill="auto"/>
        </w:rPr>
        <w:t>Burton</w:t>
      </w:r>
      <w:r w:rsidRPr="00722811">
        <w:rPr>
          <w:rFonts w:eastAsia="Times New Roman"/>
          <w:szCs w:val="24"/>
        </w:rPr>
        <w:t xml:space="preserve">, </w:t>
      </w:r>
      <w:r w:rsidRPr="00722811">
        <w:rPr>
          <w:rStyle w:val="bibfname"/>
          <w:rFonts w:eastAsia="Times New Roman"/>
          <w:szCs w:val="24"/>
          <w:shd w:val="clear" w:color="auto" w:fill="auto"/>
        </w:rPr>
        <w:t>S.</w:t>
      </w:r>
      <w:r w:rsidRPr="00722811">
        <w:rPr>
          <w:rFonts w:eastAsia="Times New Roman"/>
          <w:szCs w:val="24"/>
        </w:rPr>
        <w:t xml:space="preserve">, </w:t>
      </w:r>
      <w:r w:rsidRPr="00722811">
        <w:rPr>
          <w:rStyle w:val="bibsurname"/>
          <w:rFonts w:eastAsia="Times New Roman"/>
          <w:szCs w:val="24"/>
          <w:shd w:val="clear" w:color="auto" w:fill="auto"/>
        </w:rPr>
        <w:t>Rash</w:t>
      </w:r>
      <w:r w:rsidRPr="00722811">
        <w:rPr>
          <w:rFonts w:eastAsia="Times New Roman"/>
          <w:szCs w:val="24"/>
        </w:rPr>
        <w:t xml:space="preserve">, </w:t>
      </w:r>
      <w:r w:rsidRPr="00722811">
        <w:rPr>
          <w:rStyle w:val="bibfname"/>
          <w:rFonts w:eastAsia="Times New Roman"/>
          <w:szCs w:val="24"/>
          <w:shd w:val="clear" w:color="auto" w:fill="auto"/>
        </w:rPr>
        <w:t>C. J.</w:t>
      </w:r>
      <w:r w:rsidRPr="00722811">
        <w:rPr>
          <w:rFonts w:eastAsia="Times New Roman"/>
          <w:szCs w:val="24"/>
        </w:rPr>
        <w:t xml:space="preserve">, </w:t>
      </w:r>
      <w:r w:rsidRPr="00722811">
        <w:rPr>
          <w:rStyle w:val="bibsurname"/>
          <w:rFonts w:eastAsia="Times New Roman"/>
          <w:szCs w:val="24"/>
          <w:shd w:val="clear" w:color="auto" w:fill="auto"/>
        </w:rPr>
        <w:t>Moran</w:t>
      </w:r>
      <w:r w:rsidRPr="00722811">
        <w:rPr>
          <w:rFonts w:eastAsia="Times New Roman"/>
          <w:szCs w:val="24"/>
        </w:rPr>
        <w:t xml:space="preserve">, </w:t>
      </w:r>
      <w:r w:rsidRPr="00722811">
        <w:rPr>
          <w:rStyle w:val="bibfname"/>
          <w:rFonts w:eastAsia="Times New Roman"/>
          <w:szCs w:val="24"/>
          <w:shd w:val="clear" w:color="auto" w:fill="auto"/>
        </w:rPr>
        <w:t>S.</w:t>
      </w:r>
      <w:r w:rsidRPr="00722811">
        <w:rPr>
          <w:rFonts w:eastAsia="Times New Roman"/>
          <w:szCs w:val="24"/>
        </w:rPr>
        <w:t xml:space="preserve">, </w:t>
      </w:r>
      <w:r w:rsidRPr="00722811">
        <w:rPr>
          <w:rStyle w:val="bibsurname"/>
          <w:rFonts w:eastAsia="Times New Roman"/>
          <w:szCs w:val="24"/>
          <w:shd w:val="clear" w:color="auto" w:fill="auto"/>
        </w:rPr>
        <w:t>Biller</w:t>
      </w:r>
      <w:r w:rsidRPr="00722811">
        <w:rPr>
          <w:rFonts w:eastAsia="Times New Roman"/>
          <w:szCs w:val="24"/>
        </w:rPr>
        <w:t xml:space="preserve">, </w:t>
      </w:r>
      <w:r w:rsidRPr="00722811">
        <w:rPr>
          <w:rStyle w:val="bibfname"/>
          <w:rFonts w:eastAsia="Times New Roman"/>
          <w:szCs w:val="24"/>
          <w:shd w:val="clear" w:color="auto" w:fill="auto"/>
        </w:rPr>
        <w:t>W.</w:t>
      </w:r>
      <w:r w:rsidRPr="00722811">
        <w:rPr>
          <w:rFonts w:eastAsia="Times New Roman"/>
          <w:szCs w:val="24"/>
        </w:rPr>
        <w:t xml:space="preserve">, &amp; </w:t>
      </w:r>
      <w:r w:rsidRPr="00722811">
        <w:rPr>
          <w:rStyle w:val="bibsurname"/>
          <w:rFonts w:eastAsia="Times New Roman"/>
          <w:szCs w:val="24"/>
          <w:shd w:val="clear" w:color="auto" w:fill="auto"/>
        </w:rPr>
        <w:t>Kruedelbach</w:t>
      </w:r>
      <w:r w:rsidRPr="00722811">
        <w:rPr>
          <w:rFonts w:eastAsia="Times New Roman"/>
          <w:szCs w:val="24"/>
        </w:rPr>
        <w:t xml:space="preserve">, </w:t>
      </w:r>
      <w:r w:rsidRPr="00722811">
        <w:rPr>
          <w:rStyle w:val="bibfname"/>
          <w:rFonts w:eastAsia="Times New Roman"/>
          <w:szCs w:val="24"/>
          <w:shd w:val="clear" w:color="auto" w:fill="auto"/>
        </w:rPr>
        <w:t>N.</w:t>
      </w:r>
      <w:r w:rsidRPr="00722811">
        <w:rPr>
          <w:rFonts w:eastAsia="Times New Roman"/>
          <w:szCs w:val="24"/>
        </w:rPr>
        <w:t xml:space="preserve"> (</w:t>
      </w:r>
      <w:r w:rsidRPr="00722811">
        <w:rPr>
          <w:rStyle w:val="bibyear"/>
          <w:rFonts w:eastAsia="Times New Roman"/>
          <w:szCs w:val="24"/>
          <w:shd w:val="clear" w:color="auto" w:fill="auto"/>
        </w:rPr>
        <w:t>2014</w:t>
      </w:r>
      <w:r w:rsidRPr="00722811">
        <w:rPr>
          <w:rFonts w:eastAsia="Times New Roman"/>
          <w:szCs w:val="24"/>
        </w:rPr>
        <w:t xml:space="preserve">). </w:t>
      </w:r>
      <w:r w:rsidRPr="00722811">
        <w:rPr>
          <w:rStyle w:val="bibarticle"/>
          <w:rFonts w:eastAsia="Times New Roman"/>
          <w:szCs w:val="24"/>
          <w:shd w:val="clear" w:color="auto" w:fill="auto"/>
        </w:rPr>
        <w:t>Suicidal ideation in gamblers calling a helpline.</w:t>
      </w:r>
      <w:r w:rsidRPr="00722811">
        <w:rPr>
          <w:rFonts w:eastAsia="Times New Roman"/>
          <w:szCs w:val="24"/>
        </w:rPr>
        <w:t xml:space="preserve"> </w:t>
      </w:r>
      <w:r w:rsidRPr="00722811">
        <w:rPr>
          <w:rStyle w:val="bibjournal"/>
          <w:rFonts w:eastAsia="Times New Roman"/>
          <w:i/>
          <w:szCs w:val="24"/>
          <w:shd w:val="clear" w:color="auto" w:fill="auto"/>
        </w:rPr>
        <w:t>Addiction Research and Theory</w:t>
      </w:r>
      <w:r w:rsidRPr="00722811">
        <w:rPr>
          <w:rFonts w:eastAsia="Times New Roman"/>
          <w:i/>
          <w:szCs w:val="24"/>
        </w:rPr>
        <w:t>,</w:t>
      </w:r>
      <w:r w:rsidRPr="00722811">
        <w:rPr>
          <w:rFonts w:eastAsia="Times New Roman"/>
          <w:szCs w:val="24"/>
        </w:rPr>
        <w:t xml:space="preserve"> </w:t>
      </w:r>
      <w:r w:rsidRPr="00722811">
        <w:rPr>
          <w:rStyle w:val="bibvolume"/>
          <w:rFonts w:eastAsia="Times New Roman"/>
          <w:i/>
          <w:szCs w:val="24"/>
          <w:shd w:val="clear" w:color="auto" w:fill="auto"/>
        </w:rPr>
        <w:t>22</w:t>
      </w:r>
      <w:r w:rsidR="00A35A7A" w:rsidRPr="00722811">
        <w:rPr>
          <w:rStyle w:val="bibvolume"/>
          <w:rFonts w:eastAsia="Times New Roman"/>
          <w:i/>
          <w:szCs w:val="24"/>
          <w:shd w:val="clear" w:color="auto" w:fill="auto"/>
        </w:rPr>
        <w:t>,</w:t>
      </w:r>
      <w:r w:rsidRPr="00722811">
        <w:rPr>
          <w:rFonts w:eastAsia="Times New Roman"/>
          <w:szCs w:val="24"/>
        </w:rPr>
        <w:t xml:space="preserve"> </w:t>
      </w:r>
      <w:r w:rsidRPr="00722811">
        <w:rPr>
          <w:rStyle w:val="bibfpage"/>
          <w:rFonts w:eastAsia="Times New Roman"/>
          <w:szCs w:val="24"/>
          <w:shd w:val="clear" w:color="auto" w:fill="auto"/>
        </w:rPr>
        <w:t>398</w:t>
      </w:r>
      <w:r w:rsidRPr="00722811">
        <w:rPr>
          <w:rFonts w:eastAsia="Times New Roman"/>
          <w:szCs w:val="24"/>
        </w:rPr>
        <w:t>–</w:t>
      </w:r>
      <w:r w:rsidRPr="00722811">
        <w:rPr>
          <w:rStyle w:val="biblpage"/>
          <w:rFonts w:eastAsia="Times New Roman"/>
          <w:szCs w:val="24"/>
          <w:shd w:val="clear" w:color="auto" w:fill="auto"/>
        </w:rPr>
        <w:t>406</w:t>
      </w:r>
      <w:r w:rsidRPr="00722811">
        <w:rPr>
          <w:rFonts w:eastAsia="Times New Roman"/>
          <w:szCs w:val="24"/>
        </w:rPr>
        <w:t>.</w:t>
      </w:r>
      <w:hyperlink r:id="rId20" w:history="1">
        <w:r w:rsidRPr="00722811">
          <w:rPr>
            <w:rStyle w:val="Hyperlink"/>
          </w:rPr>
          <w:t xml:space="preserve"> https://doi.org/10.3109/16066359.2013.868445</w:t>
        </w:r>
      </w:hyperlink>
    </w:p>
    <w:bookmarkEnd w:id="0"/>
    <w:p w14:paraId="50B0B5F6" w14:textId="77777777" w:rsidR="007C71CF" w:rsidRPr="00722811" w:rsidRDefault="007C71CF" w:rsidP="009D25C7">
      <w:pPr>
        <w:pStyle w:val="R-2h"/>
        <w:autoSpaceDE w:val="0"/>
        <w:autoSpaceDN w:val="0"/>
        <w:adjustRightInd w:val="0"/>
        <w:rPr>
          <w:szCs w:val="24"/>
        </w:rPr>
      </w:pPr>
      <w:r>
        <w:t>Other Publications</w:t>
      </w:r>
    </w:p>
    <w:p w14:paraId="4C3FF126" w14:textId="5779581D" w:rsidR="00891071" w:rsidRPr="00891071" w:rsidRDefault="00891071" w:rsidP="00891071">
      <w:pPr>
        <w:spacing w:after="120"/>
        <w:ind w:left="446" w:hanging="446"/>
        <w:rPr>
          <w:szCs w:val="22"/>
          <w:lang w:val="da-DK"/>
        </w:rPr>
      </w:pPr>
      <w:r w:rsidRPr="00891071">
        <w:rPr>
          <w:szCs w:val="22"/>
        </w:rPr>
        <w:t xml:space="preserve">Berzofsky, M. E., Barrick, K., Scott, T. L., Smith, E. L., &amp; Barnett-Ryan, C. (2022). </w:t>
      </w:r>
      <w:r w:rsidRPr="00891071">
        <w:rPr>
          <w:i/>
          <w:szCs w:val="22"/>
        </w:rPr>
        <w:t>Indicators for crime estimates using NIBRS data</w:t>
      </w:r>
      <w:r w:rsidRPr="00891071">
        <w:rPr>
          <w:szCs w:val="22"/>
        </w:rPr>
        <w:t>. Bureau of Justice Statistics, U</w:t>
      </w:r>
      <w:r w:rsidR="00E05D53">
        <w:rPr>
          <w:szCs w:val="22"/>
        </w:rPr>
        <w:t>.</w:t>
      </w:r>
      <w:r w:rsidRPr="00891071">
        <w:rPr>
          <w:szCs w:val="22"/>
        </w:rPr>
        <w:t>S</w:t>
      </w:r>
      <w:r w:rsidR="00E05D53">
        <w:rPr>
          <w:szCs w:val="22"/>
        </w:rPr>
        <w:t>.</w:t>
      </w:r>
      <w:r w:rsidRPr="00891071">
        <w:rPr>
          <w:szCs w:val="22"/>
        </w:rPr>
        <w:t xml:space="preserve"> Department of Justice. </w:t>
      </w:r>
      <w:hyperlink r:id="rId21" w:history="1">
        <w:r w:rsidRPr="00891071">
          <w:rPr>
            <w:rStyle w:val="Hyperlink"/>
            <w:szCs w:val="22"/>
          </w:rPr>
          <w:t>https://bjs.ojp.gov/content/pub/pdf/iceunibrsd.pdf</w:t>
        </w:r>
      </w:hyperlink>
      <w:r>
        <w:rPr>
          <w:szCs w:val="22"/>
        </w:rPr>
        <w:t xml:space="preserve"> </w:t>
      </w:r>
    </w:p>
    <w:p w14:paraId="4E75095A" w14:textId="52F58546" w:rsidR="0067761D" w:rsidRPr="00722811" w:rsidRDefault="0067761D" w:rsidP="009D7C2D">
      <w:pPr>
        <w:spacing w:after="120"/>
        <w:ind w:left="446" w:hanging="446"/>
        <w:rPr>
          <w:szCs w:val="22"/>
        </w:rPr>
      </w:pPr>
      <w:r w:rsidRPr="00722811">
        <w:rPr>
          <w:szCs w:val="22"/>
        </w:rPr>
        <w:t xml:space="preserve">Scott, T. L. (2022). </w:t>
      </w:r>
      <w:r w:rsidRPr="00722811">
        <w:rPr>
          <w:i/>
          <w:szCs w:val="24"/>
        </w:rPr>
        <w:t xml:space="preserve">The effect of firearm relinquishment laws on domestic gun violence </w:t>
      </w:r>
      <w:r w:rsidR="00915C96" w:rsidRPr="00722811">
        <w:rPr>
          <w:szCs w:val="24"/>
        </w:rPr>
        <w:t>[</w:t>
      </w:r>
      <w:r w:rsidRPr="00722811">
        <w:rPr>
          <w:szCs w:val="24"/>
        </w:rPr>
        <w:t xml:space="preserve">Unpublished </w:t>
      </w:r>
      <w:r w:rsidR="00915C96" w:rsidRPr="00722811">
        <w:rPr>
          <w:szCs w:val="24"/>
        </w:rPr>
        <w:t xml:space="preserve">doctoral </w:t>
      </w:r>
      <w:r w:rsidRPr="00722811">
        <w:rPr>
          <w:szCs w:val="24"/>
        </w:rPr>
        <w:t>dissertation</w:t>
      </w:r>
      <w:r w:rsidR="00915C96" w:rsidRPr="00722811">
        <w:rPr>
          <w:szCs w:val="24"/>
        </w:rPr>
        <w:t>]</w:t>
      </w:r>
      <w:r w:rsidRPr="00722811">
        <w:rPr>
          <w:szCs w:val="24"/>
        </w:rPr>
        <w:t>. University of Maryland.</w:t>
      </w:r>
    </w:p>
    <w:p w14:paraId="3A6F416B" w14:textId="5B96EF78" w:rsidR="00BB4043" w:rsidRPr="00722811" w:rsidRDefault="00BB4043" w:rsidP="009D7C2D">
      <w:pPr>
        <w:spacing w:after="120"/>
        <w:ind w:left="446" w:hanging="446"/>
        <w:rPr>
          <w:szCs w:val="22"/>
        </w:rPr>
      </w:pPr>
      <w:r w:rsidRPr="00722811">
        <w:rPr>
          <w:szCs w:val="22"/>
        </w:rPr>
        <w:t xml:space="preserve">Wellford, C., &amp; Scott, T. (2021). Guest editorial to the special issue: Advances in Police Investigations. </w:t>
      </w:r>
      <w:r w:rsidRPr="00722811">
        <w:rPr>
          <w:i/>
          <w:iCs/>
          <w:szCs w:val="22"/>
        </w:rPr>
        <w:t>Policing: An International Journal, 44</w:t>
      </w:r>
      <w:r w:rsidRPr="00722811">
        <w:rPr>
          <w:szCs w:val="22"/>
        </w:rPr>
        <w:t>(4), 541</w:t>
      </w:r>
      <w:r w:rsidR="00915C96" w:rsidRPr="00722811">
        <w:rPr>
          <w:szCs w:val="22"/>
        </w:rPr>
        <w:t>–</w:t>
      </w:r>
      <w:r w:rsidRPr="00722811">
        <w:rPr>
          <w:szCs w:val="22"/>
        </w:rPr>
        <w:t xml:space="preserve">547. </w:t>
      </w:r>
      <w:hyperlink r:id="rId22" w:history="1">
        <w:r w:rsidR="00915C96" w:rsidRPr="00722811">
          <w:rPr>
            <w:rStyle w:val="Hyperlink"/>
            <w:szCs w:val="22"/>
          </w:rPr>
          <w:t>https://doi.org/10.1108/PIJPSM-08-2021-198</w:t>
        </w:r>
      </w:hyperlink>
      <w:r w:rsidR="00915C96" w:rsidRPr="00722811">
        <w:rPr>
          <w:szCs w:val="22"/>
        </w:rPr>
        <w:t xml:space="preserve"> </w:t>
      </w:r>
    </w:p>
    <w:p w14:paraId="68CBCA2F" w14:textId="13165A10" w:rsidR="005537F0" w:rsidRPr="00722811" w:rsidRDefault="005537F0" w:rsidP="009D7C2D">
      <w:pPr>
        <w:spacing w:after="120"/>
        <w:ind w:left="446" w:hanging="446"/>
        <w:rPr>
          <w:i/>
          <w:iCs/>
          <w:szCs w:val="22"/>
        </w:rPr>
      </w:pPr>
      <w:r w:rsidRPr="00722811">
        <w:rPr>
          <w:szCs w:val="22"/>
        </w:rPr>
        <w:t>Scott, T. (</w:t>
      </w:r>
      <w:r w:rsidR="00BB4043" w:rsidRPr="00722811">
        <w:rPr>
          <w:szCs w:val="22"/>
        </w:rPr>
        <w:t>2021</w:t>
      </w:r>
      <w:r w:rsidR="00915C96" w:rsidRPr="00722811">
        <w:rPr>
          <w:szCs w:val="22"/>
        </w:rPr>
        <w:t>, May</w:t>
      </w:r>
      <w:r w:rsidRPr="00722811">
        <w:rPr>
          <w:szCs w:val="22"/>
        </w:rPr>
        <w:t xml:space="preserve">). </w:t>
      </w:r>
      <w:r w:rsidR="00915C96" w:rsidRPr="00722811">
        <w:rPr>
          <w:szCs w:val="22"/>
        </w:rPr>
        <w:t>R</w:t>
      </w:r>
      <w:r w:rsidRPr="00722811">
        <w:rPr>
          <w:szCs w:val="22"/>
        </w:rPr>
        <w:t xml:space="preserve">eview of </w:t>
      </w:r>
      <w:r w:rsidR="00915C96" w:rsidRPr="00722811">
        <w:rPr>
          <w:szCs w:val="22"/>
        </w:rPr>
        <w:t xml:space="preserve">the book </w:t>
      </w:r>
      <w:r w:rsidRPr="00722811">
        <w:rPr>
          <w:i/>
          <w:iCs/>
          <w:szCs w:val="22"/>
        </w:rPr>
        <w:t xml:space="preserve">Predict </w:t>
      </w:r>
      <w:r w:rsidR="00915C96" w:rsidRPr="00722811">
        <w:rPr>
          <w:i/>
          <w:iCs/>
          <w:szCs w:val="22"/>
        </w:rPr>
        <w:t xml:space="preserve">and </w:t>
      </w:r>
      <w:proofErr w:type="gramStart"/>
      <w:r w:rsidR="00915C96" w:rsidRPr="00722811">
        <w:rPr>
          <w:i/>
          <w:iCs/>
          <w:szCs w:val="22"/>
        </w:rPr>
        <w:t>surveil:</w:t>
      </w:r>
      <w:proofErr w:type="gramEnd"/>
      <w:r w:rsidR="00915C96" w:rsidRPr="00722811">
        <w:rPr>
          <w:i/>
          <w:iCs/>
          <w:szCs w:val="22"/>
        </w:rPr>
        <w:t xml:space="preserve"> data, discretion, and the future of policing</w:t>
      </w:r>
      <w:r w:rsidR="00915C96" w:rsidRPr="00722811">
        <w:rPr>
          <w:szCs w:val="22"/>
        </w:rPr>
        <w:t>, by S.</w:t>
      </w:r>
      <w:r w:rsidRPr="00722811">
        <w:rPr>
          <w:szCs w:val="22"/>
        </w:rPr>
        <w:t xml:space="preserve"> Brayne. </w:t>
      </w:r>
      <w:r w:rsidRPr="00722811">
        <w:rPr>
          <w:i/>
          <w:iCs/>
          <w:szCs w:val="22"/>
        </w:rPr>
        <w:t>Criminal Law and Criminal Justice Book Reviews.</w:t>
      </w:r>
    </w:p>
    <w:p w14:paraId="5DD34646" w14:textId="107556E6" w:rsidR="009D7C2D" w:rsidRPr="00722811" w:rsidRDefault="009D7C2D" w:rsidP="009D7C2D">
      <w:pPr>
        <w:spacing w:after="120"/>
        <w:ind w:left="446" w:hanging="446"/>
        <w:rPr>
          <w:szCs w:val="22"/>
        </w:rPr>
      </w:pPr>
      <w:r w:rsidRPr="00722811">
        <w:rPr>
          <w:szCs w:val="22"/>
        </w:rPr>
        <w:t>DeMichele, M.</w:t>
      </w:r>
      <w:r w:rsidR="003747AD" w:rsidRPr="00722811">
        <w:rPr>
          <w:szCs w:val="22"/>
        </w:rPr>
        <w:t xml:space="preserve"> </w:t>
      </w:r>
      <w:r w:rsidRPr="00722811">
        <w:rPr>
          <w:szCs w:val="22"/>
        </w:rPr>
        <w:t>T., Scaggs, S., Scott, T.</w:t>
      </w:r>
      <w:r w:rsidR="003747AD" w:rsidRPr="00722811">
        <w:rPr>
          <w:szCs w:val="22"/>
        </w:rPr>
        <w:t xml:space="preserve"> </w:t>
      </w:r>
      <w:r w:rsidRPr="00722811">
        <w:rPr>
          <w:szCs w:val="22"/>
        </w:rPr>
        <w:t>L., &amp; Kennedy, E.</w:t>
      </w:r>
      <w:r w:rsidR="003747AD" w:rsidRPr="00722811">
        <w:rPr>
          <w:szCs w:val="22"/>
        </w:rPr>
        <w:t xml:space="preserve"> </w:t>
      </w:r>
      <w:r w:rsidRPr="00722811">
        <w:rPr>
          <w:szCs w:val="22"/>
        </w:rPr>
        <w:t>K. (2019)</w:t>
      </w:r>
      <w:r w:rsidR="002E1CE6" w:rsidRPr="00722811">
        <w:rPr>
          <w:szCs w:val="22"/>
        </w:rPr>
        <w:t>.</w:t>
      </w:r>
      <w:r w:rsidRPr="00722811">
        <w:rPr>
          <w:szCs w:val="22"/>
        </w:rPr>
        <w:t xml:space="preserve"> </w:t>
      </w:r>
      <w:proofErr w:type="gramStart"/>
      <w:r w:rsidRPr="00722811">
        <w:rPr>
          <w:szCs w:val="22"/>
        </w:rPr>
        <w:t>How concerning</w:t>
      </w:r>
      <w:proofErr w:type="gramEnd"/>
      <w:r w:rsidRPr="00722811">
        <w:rPr>
          <w:szCs w:val="22"/>
        </w:rPr>
        <w:t xml:space="preserve"> are parole revocations to correctional reform? Leveraging data collected by the Bureau of Justice Statistics to describe changes in parole. </w:t>
      </w:r>
      <w:r w:rsidRPr="00722811">
        <w:rPr>
          <w:i/>
          <w:iCs/>
          <w:szCs w:val="22"/>
        </w:rPr>
        <w:t>Perspectives, 43</w:t>
      </w:r>
      <w:r w:rsidRPr="00722811">
        <w:rPr>
          <w:szCs w:val="22"/>
        </w:rPr>
        <w:t>(2), 16</w:t>
      </w:r>
      <w:r w:rsidR="003747AD" w:rsidRPr="00722811">
        <w:rPr>
          <w:szCs w:val="22"/>
        </w:rPr>
        <w:t>–</w:t>
      </w:r>
      <w:r w:rsidRPr="00722811">
        <w:rPr>
          <w:szCs w:val="22"/>
        </w:rPr>
        <w:t>29.</w:t>
      </w:r>
    </w:p>
    <w:p w14:paraId="7C020814" w14:textId="4CD29487" w:rsidR="007C71CF" w:rsidRPr="00722811" w:rsidRDefault="007C71CF" w:rsidP="009D7C2D">
      <w:pPr>
        <w:pStyle w:val="R-Pubs-Pres"/>
        <w:autoSpaceDE w:val="0"/>
        <w:autoSpaceDN w:val="0"/>
        <w:adjustRightInd w:val="0"/>
        <w:rPr>
          <w:szCs w:val="24"/>
        </w:rPr>
      </w:pPr>
      <w:r w:rsidRPr="00722811">
        <w:rPr>
          <w:szCs w:val="24"/>
        </w:rPr>
        <w:t xml:space="preserve">Scott, T. L. (2015). </w:t>
      </w:r>
      <w:r w:rsidRPr="00722811">
        <w:rPr>
          <w:i/>
          <w:szCs w:val="24"/>
        </w:rPr>
        <w:t>A longitudinal, mixed-method study of the identity theory of desistance</w:t>
      </w:r>
      <w:r w:rsidRPr="00722811">
        <w:rPr>
          <w:szCs w:val="24"/>
        </w:rPr>
        <w:t xml:space="preserve"> </w:t>
      </w:r>
      <w:r w:rsidR="002E1CE6" w:rsidRPr="00722811">
        <w:rPr>
          <w:szCs w:val="24"/>
        </w:rPr>
        <w:t>[</w:t>
      </w:r>
      <w:r w:rsidRPr="00722811">
        <w:rPr>
          <w:szCs w:val="24"/>
        </w:rPr>
        <w:t xml:space="preserve">Unpublished </w:t>
      </w:r>
      <w:r w:rsidR="00A35A7A" w:rsidRPr="00722811">
        <w:rPr>
          <w:szCs w:val="24"/>
        </w:rPr>
        <w:t xml:space="preserve">master’s </w:t>
      </w:r>
      <w:r w:rsidRPr="00722811">
        <w:rPr>
          <w:szCs w:val="24"/>
        </w:rPr>
        <w:t>thesis</w:t>
      </w:r>
      <w:r w:rsidR="002E1CE6" w:rsidRPr="00722811">
        <w:rPr>
          <w:szCs w:val="24"/>
        </w:rPr>
        <w:t>]</w:t>
      </w:r>
      <w:r w:rsidR="00A35A7A" w:rsidRPr="00722811">
        <w:rPr>
          <w:szCs w:val="24"/>
        </w:rPr>
        <w:t>.</w:t>
      </w:r>
      <w:r w:rsidRPr="00722811">
        <w:rPr>
          <w:szCs w:val="24"/>
        </w:rPr>
        <w:t xml:space="preserve"> University of Maryland.</w:t>
      </w:r>
    </w:p>
    <w:p w14:paraId="74FCF387" w14:textId="77777777" w:rsidR="007C71CF" w:rsidRPr="00722811" w:rsidRDefault="007C71CF" w:rsidP="009D25C7">
      <w:pPr>
        <w:pStyle w:val="R-2h"/>
        <w:autoSpaceDE w:val="0"/>
        <w:autoSpaceDN w:val="0"/>
        <w:adjustRightInd w:val="0"/>
        <w:rPr>
          <w:szCs w:val="24"/>
        </w:rPr>
      </w:pPr>
      <w:r w:rsidRPr="00722811">
        <w:rPr>
          <w:szCs w:val="24"/>
        </w:rPr>
        <w:t>Presentations and Proceedings</w:t>
      </w:r>
    </w:p>
    <w:p w14:paraId="051D2283" w14:textId="0ED07945" w:rsidR="00B925F2" w:rsidRPr="00D90359" w:rsidRDefault="00B925F2" w:rsidP="009D25C7">
      <w:pPr>
        <w:pStyle w:val="R-Pubs-Pres"/>
        <w:autoSpaceDE w:val="0"/>
        <w:autoSpaceDN w:val="0"/>
        <w:adjustRightInd w:val="0"/>
        <w:rPr>
          <w:szCs w:val="24"/>
        </w:rPr>
      </w:pPr>
      <w:r>
        <w:rPr>
          <w:szCs w:val="24"/>
        </w:rPr>
        <w:t xml:space="preserve">Scott, T. L. (2023, September). </w:t>
      </w:r>
      <w:r w:rsidR="00D90359">
        <w:rPr>
          <w:i/>
          <w:iCs/>
          <w:szCs w:val="24"/>
        </w:rPr>
        <w:t>Coordinated approaches for solving fatal and nonfatal shootings.</w:t>
      </w:r>
      <w:r w:rsidR="00D90359">
        <w:rPr>
          <w:szCs w:val="24"/>
        </w:rPr>
        <w:t xml:space="preserve"> Presentation at the 2023 Convening of the National Case Closed Project, Research Triangle Park, NC.</w:t>
      </w:r>
    </w:p>
    <w:p w14:paraId="0F3C0393" w14:textId="56EE0AB2" w:rsidR="0067761D" w:rsidRPr="00722811" w:rsidRDefault="0067761D" w:rsidP="009D25C7">
      <w:pPr>
        <w:pStyle w:val="R-Pubs-Pres"/>
        <w:autoSpaceDE w:val="0"/>
        <w:autoSpaceDN w:val="0"/>
        <w:adjustRightInd w:val="0"/>
        <w:rPr>
          <w:szCs w:val="24"/>
        </w:rPr>
      </w:pPr>
      <w:r w:rsidRPr="00722811">
        <w:rPr>
          <w:szCs w:val="24"/>
        </w:rPr>
        <w:t xml:space="preserve">Scott, T. L. (2022, March). </w:t>
      </w:r>
      <w:r w:rsidRPr="00722811">
        <w:rPr>
          <w:i/>
          <w:iCs/>
          <w:szCs w:val="24"/>
        </w:rPr>
        <w:t>The effect of firearm relinquishment laws on gun violence</w:t>
      </w:r>
      <w:r w:rsidRPr="00722811">
        <w:rPr>
          <w:szCs w:val="24"/>
        </w:rPr>
        <w:t xml:space="preserve">. Paper presented at the annual meeting of the Academy of Criminal Justice Sciences, Las Vegas, NV. </w:t>
      </w:r>
    </w:p>
    <w:p w14:paraId="01713334" w14:textId="604697D7" w:rsidR="009D7C2D" w:rsidRPr="00722811" w:rsidRDefault="009D7C2D" w:rsidP="009D25C7">
      <w:pPr>
        <w:pStyle w:val="R-Pubs-Pres"/>
        <w:autoSpaceDE w:val="0"/>
        <w:autoSpaceDN w:val="0"/>
        <w:adjustRightInd w:val="0"/>
        <w:rPr>
          <w:szCs w:val="24"/>
        </w:rPr>
      </w:pPr>
      <w:r w:rsidRPr="00722811">
        <w:rPr>
          <w:szCs w:val="24"/>
        </w:rPr>
        <w:t>Scott, T.</w:t>
      </w:r>
      <w:r w:rsidR="003747AD" w:rsidRPr="00722811">
        <w:rPr>
          <w:szCs w:val="24"/>
        </w:rPr>
        <w:t xml:space="preserve"> </w:t>
      </w:r>
      <w:r w:rsidRPr="00722811">
        <w:rPr>
          <w:szCs w:val="24"/>
        </w:rPr>
        <w:t xml:space="preserve">L. (2019, November). </w:t>
      </w:r>
      <w:r w:rsidRPr="00722811">
        <w:rPr>
          <w:i/>
          <w:iCs/>
          <w:szCs w:val="24"/>
        </w:rPr>
        <w:t>Variability in sexual assault clearance methods</w:t>
      </w:r>
      <w:r w:rsidRPr="00722811">
        <w:rPr>
          <w:szCs w:val="24"/>
        </w:rPr>
        <w:t xml:space="preserve">. Paper presented at the annual meeting of the American Society of Criminology, San Francisco, CA. </w:t>
      </w:r>
    </w:p>
    <w:p w14:paraId="27178372" w14:textId="6A81679F" w:rsidR="007C71CF" w:rsidRPr="00722811" w:rsidRDefault="007C71CF" w:rsidP="009D25C7">
      <w:pPr>
        <w:pStyle w:val="R-Pubs-Pres"/>
        <w:autoSpaceDE w:val="0"/>
        <w:autoSpaceDN w:val="0"/>
        <w:adjustRightInd w:val="0"/>
        <w:rPr>
          <w:szCs w:val="24"/>
        </w:rPr>
      </w:pPr>
      <w:r w:rsidRPr="00722811">
        <w:rPr>
          <w:szCs w:val="24"/>
        </w:rPr>
        <w:t>Scott, T</w:t>
      </w:r>
      <w:r w:rsidR="00940462" w:rsidRPr="00722811">
        <w:rPr>
          <w:szCs w:val="24"/>
        </w:rPr>
        <w:t xml:space="preserve">. </w:t>
      </w:r>
      <w:r w:rsidRPr="00722811">
        <w:rPr>
          <w:szCs w:val="24"/>
        </w:rPr>
        <w:t xml:space="preserve">L. (2017, November). </w:t>
      </w:r>
      <w:r w:rsidRPr="00722811">
        <w:rPr>
          <w:i/>
          <w:szCs w:val="24"/>
        </w:rPr>
        <w:t>Prisonization revisited: A broader test of the mechanisms linking facility stay to reentry</w:t>
      </w:r>
      <w:r w:rsidRPr="00722811">
        <w:rPr>
          <w:szCs w:val="24"/>
        </w:rPr>
        <w:t>. Paper presented at the annual meeting of the American Society of Criminology, Philadelphia, PA.</w:t>
      </w:r>
    </w:p>
    <w:p w14:paraId="4C1A7A90" w14:textId="3292E039" w:rsidR="007C71CF" w:rsidRPr="00722811" w:rsidRDefault="007C71CF" w:rsidP="009D25C7">
      <w:pPr>
        <w:pStyle w:val="R-Pubs-Pres"/>
        <w:autoSpaceDE w:val="0"/>
        <w:autoSpaceDN w:val="0"/>
        <w:adjustRightInd w:val="0"/>
        <w:rPr>
          <w:szCs w:val="24"/>
        </w:rPr>
      </w:pPr>
      <w:r w:rsidRPr="00722811">
        <w:rPr>
          <w:szCs w:val="24"/>
        </w:rPr>
        <w:lastRenderedPageBreak/>
        <w:t>Scott, T</w:t>
      </w:r>
      <w:r w:rsidR="00940462" w:rsidRPr="00722811">
        <w:rPr>
          <w:szCs w:val="24"/>
        </w:rPr>
        <w:t xml:space="preserve">. </w:t>
      </w:r>
      <w:r w:rsidRPr="00722811">
        <w:rPr>
          <w:szCs w:val="24"/>
        </w:rPr>
        <w:t xml:space="preserve">L. (2016, November). </w:t>
      </w:r>
      <w:r w:rsidRPr="00722811">
        <w:rPr>
          <w:i/>
          <w:szCs w:val="24"/>
        </w:rPr>
        <w:t>Unmasking longitudinal heterogeneity in police clearance rates: An application of group-based trajectory modeling</w:t>
      </w:r>
      <w:r w:rsidRPr="00722811">
        <w:rPr>
          <w:szCs w:val="24"/>
        </w:rPr>
        <w:t>. Paper presented at the annual meeting of the American Society of Criminology, New Orleans, LA.</w:t>
      </w:r>
    </w:p>
    <w:p w14:paraId="2EDCD176" w14:textId="55DAEB00" w:rsidR="007C71CF" w:rsidRPr="00722811" w:rsidRDefault="007C71CF" w:rsidP="009D25C7">
      <w:pPr>
        <w:pStyle w:val="R-Pubs-Pres"/>
        <w:autoSpaceDE w:val="0"/>
        <w:autoSpaceDN w:val="0"/>
        <w:adjustRightInd w:val="0"/>
        <w:rPr>
          <w:szCs w:val="24"/>
        </w:rPr>
      </w:pPr>
      <w:r w:rsidRPr="00722811">
        <w:rPr>
          <w:szCs w:val="24"/>
        </w:rPr>
        <w:t>Collins, M</w:t>
      </w:r>
      <w:r w:rsidR="00940462" w:rsidRPr="00722811">
        <w:rPr>
          <w:szCs w:val="24"/>
        </w:rPr>
        <w:t xml:space="preserve">. </w:t>
      </w:r>
      <w:r w:rsidRPr="00722811">
        <w:rPr>
          <w:szCs w:val="24"/>
        </w:rPr>
        <w:t>E., Parker, S</w:t>
      </w:r>
      <w:r w:rsidR="00940462" w:rsidRPr="00722811">
        <w:rPr>
          <w:szCs w:val="24"/>
        </w:rPr>
        <w:t xml:space="preserve">. </w:t>
      </w:r>
      <w:r w:rsidRPr="00722811">
        <w:rPr>
          <w:szCs w:val="24"/>
        </w:rPr>
        <w:t>T., Scott, T</w:t>
      </w:r>
      <w:r w:rsidR="00940462" w:rsidRPr="00722811">
        <w:rPr>
          <w:szCs w:val="24"/>
        </w:rPr>
        <w:t xml:space="preserve">. </w:t>
      </w:r>
      <w:r w:rsidRPr="00722811">
        <w:rPr>
          <w:szCs w:val="24"/>
        </w:rPr>
        <w:t xml:space="preserve">L., </w:t>
      </w:r>
      <w:r w:rsidR="00940462" w:rsidRPr="00722811">
        <w:rPr>
          <w:szCs w:val="24"/>
        </w:rPr>
        <w:t xml:space="preserve">&amp; </w:t>
      </w:r>
      <w:r w:rsidRPr="00722811">
        <w:rPr>
          <w:szCs w:val="24"/>
        </w:rPr>
        <w:t>Wellford, C</w:t>
      </w:r>
      <w:r w:rsidR="00940462" w:rsidRPr="00722811">
        <w:rPr>
          <w:szCs w:val="24"/>
        </w:rPr>
        <w:t xml:space="preserve">. </w:t>
      </w:r>
      <w:r w:rsidRPr="00722811">
        <w:rPr>
          <w:szCs w:val="24"/>
        </w:rPr>
        <w:t xml:space="preserve">F. (2016, April). </w:t>
      </w:r>
      <w:r w:rsidRPr="00722811">
        <w:rPr>
          <w:i/>
          <w:szCs w:val="24"/>
        </w:rPr>
        <w:t>A comparative analysis of crime guns: Implications for reducing gun violence</w:t>
      </w:r>
      <w:r w:rsidRPr="00722811">
        <w:rPr>
          <w:szCs w:val="24"/>
        </w:rPr>
        <w:t>. Paper presented at the Russell Sage Foundation’s meeting on underground gun markets</w:t>
      </w:r>
      <w:r w:rsidR="009165F1" w:rsidRPr="00722811">
        <w:rPr>
          <w:szCs w:val="24"/>
        </w:rPr>
        <w:t>, New York City, NY</w:t>
      </w:r>
      <w:r w:rsidRPr="00722811">
        <w:rPr>
          <w:szCs w:val="24"/>
        </w:rPr>
        <w:t>.</w:t>
      </w:r>
    </w:p>
    <w:p w14:paraId="685C6BF7" w14:textId="1078A087" w:rsidR="007C71CF" w:rsidRPr="00722811" w:rsidRDefault="007C71CF" w:rsidP="009D25C7">
      <w:pPr>
        <w:pStyle w:val="R-Pubs-Pres"/>
        <w:autoSpaceDE w:val="0"/>
        <w:autoSpaceDN w:val="0"/>
        <w:adjustRightInd w:val="0"/>
        <w:rPr>
          <w:szCs w:val="24"/>
        </w:rPr>
      </w:pPr>
      <w:r w:rsidRPr="00722811">
        <w:rPr>
          <w:szCs w:val="24"/>
        </w:rPr>
        <w:t>Scott, T</w:t>
      </w:r>
      <w:r w:rsidR="00940462" w:rsidRPr="00722811">
        <w:rPr>
          <w:szCs w:val="24"/>
        </w:rPr>
        <w:t xml:space="preserve">. </w:t>
      </w:r>
      <w:r w:rsidRPr="00722811">
        <w:rPr>
          <w:szCs w:val="24"/>
        </w:rPr>
        <w:t xml:space="preserve">L. (2016, April). </w:t>
      </w:r>
      <w:r w:rsidRPr="00722811">
        <w:rPr>
          <w:i/>
          <w:szCs w:val="24"/>
        </w:rPr>
        <w:t>The journey to gun crime: Movement of crime guns from purchase to recovery</w:t>
      </w:r>
      <w:r w:rsidRPr="00722811">
        <w:rPr>
          <w:szCs w:val="24"/>
        </w:rPr>
        <w:t xml:space="preserve">. Paper presented at the </w:t>
      </w:r>
      <w:r w:rsidR="00A35A7A" w:rsidRPr="00722811">
        <w:rPr>
          <w:szCs w:val="24"/>
        </w:rPr>
        <w:t>regional student conference of the Association for Public Policy Analysis and Management,</w:t>
      </w:r>
      <w:r w:rsidRPr="00722811">
        <w:rPr>
          <w:szCs w:val="24"/>
        </w:rPr>
        <w:t xml:space="preserve"> </w:t>
      </w:r>
      <w:proofErr w:type="gramStart"/>
      <w:r w:rsidRPr="00722811">
        <w:rPr>
          <w:szCs w:val="24"/>
        </w:rPr>
        <w:t>Arlington,</w:t>
      </w:r>
      <w:proofErr w:type="gramEnd"/>
      <w:r w:rsidRPr="00722811">
        <w:rPr>
          <w:szCs w:val="24"/>
        </w:rPr>
        <w:t xml:space="preserve"> VA.</w:t>
      </w:r>
    </w:p>
    <w:p w14:paraId="3CA6C33D" w14:textId="6B24FAAA" w:rsidR="007C71CF" w:rsidRPr="00722811" w:rsidRDefault="007C71CF" w:rsidP="009D25C7">
      <w:pPr>
        <w:pStyle w:val="R-Pubs-Pres"/>
        <w:autoSpaceDE w:val="0"/>
        <w:autoSpaceDN w:val="0"/>
        <w:adjustRightInd w:val="0"/>
        <w:rPr>
          <w:szCs w:val="24"/>
        </w:rPr>
      </w:pPr>
      <w:r w:rsidRPr="00722811">
        <w:rPr>
          <w:szCs w:val="24"/>
        </w:rPr>
        <w:t>Wellford, C., Scott, T</w:t>
      </w:r>
      <w:r w:rsidR="00940462" w:rsidRPr="00722811">
        <w:rPr>
          <w:szCs w:val="24"/>
        </w:rPr>
        <w:t xml:space="preserve">. </w:t>
      </w:r>
      <w:r w:rsidRPr="00722811">
        <w:rPr>
          <w:szCs w:val="24"/>
        </w:rPr>
        <w:t xml:space="preserve">L., &amp; Collins, M. (2015, November). </w:t>
      </w:r>
      <w:r w:rsidRPr="00722811">
        <w:rPr>
          <w:i/>
          <w:szCs w:val="24"/>
        </w:rPr>
        <w:t>The movement of guns from first legal sale to use in crime: A tale of two cities</w:t>
      </w:r>
      <w:r w:rsidRPr="00722811">
        <w:rPr>
          <w:szCs w:val="24"/>
        </w:rPr>
        <w:t>. Paper presented at the annual meeting of the American Society of Criminology, Washington, DC.</w:t>
      </w:r>
    </w:p>
    <w:p w14:paraId="649CD333" w14:textId="04B13E2D" w:rsidR="007C71CF" w:rsidRPr="00722811" w:rsidRDefault="007C71CF" w:rsidP="009D25C7">
      <w:pPr>
        <w:pStyle w:val="R-Pubs-Pres"/>
        <w:autoSpaceDE w:val="0"/>
        <w:autoSpaceDN w:val="0"/>
        <w:adjustRightInd w:val="0"/>
        <w:rPr>
          <w:szCs w:val="24"/>
        </w:rPr>
      </w:pPr>
      <w:r w:rsidRPr="00722811">
        <w:rPr>
          <w:szCs w:val="24"/>
        </w:rPr>
        <w:t>Scott, T</w:t>
      </w:r>
      <w:r w:rsidR="00940462" w:rsidRPr="00722811">
        <w:rPr>
          <w:szCs w:val="24"/>
        </w:rPr>
        <w:t xml:space="preserve">. </w:t>
      </w:r>
      <w:r w:rsidRPr="00722811">
        <w:rPr>
          <w:szCs w:val="24"/>
        </w:rPr>
        <w:t xml:space="preserve">L. (2015, November). </w:t>
      </w:r>
      <w:proofErr w:type="gramStart"/>
      <w:r w:rsidRPr="00722811">
        <w:rPr>
          <w:i/>
          <w:szCs w:val="24"/>
        </w:rPr>
        <w:t>Certainly</w:t>
      </w:r>
      <w:proofErr w:type="gramEnd"/>
      <w:r w:rsidRPr="00722811">
        <w:rPr>
          <w:i/>
          <w:szCs w:val="24"/>
        </w:rPr>
        <w:t xml:space="preserve"> I can! The relation between individual adequacy and deviance during youth</w:t>
      </w:r>
      <w:r w:rsidRPr="00722811">
        <w:rPr>
          <w:szCs w:val="24"/>
        </w:rPr>
        <w:t>. Paper presented at the annual meeting of the American Society of Criminology, Washington, DC.</w:t>
      </w:r>
    </w:p>
    <w:p w14:paraId="6F5F35C6" w14:textId="1414D0D8" w:rsidR="007C71CF" w:rsidRPr="00722811" w:rsidRDefault="007C71CF" w:rsidP="009D25C7">
      <w:pPr>
        <w:pStyle w:val="R-Pubs-Pres"/>
        <w:autoSpaceDE w:val="0"/>
        <w:autoSpaceDN w:val="0"/>
        <w:adjustRightInd w:val="0"/>
        <w:rPr>
          <w:szCs w:val="24"/>
        </w:rPr>
      </w:pPr>
      <w:r w:rsidRPr="00722811">
        <w:rPr>
          <w:szCs w:val="24"/>
        </w:rPr>
        <w:t>Scott, T.</w:t>
      </w:r>
      <w:r w:rsidR="00940462" w:rsidRPr="00722811">
        <w:rPr>
          <w:szCs w:val="24"/>
        </w:rPr>
        <w:t xml:space="preserve"> </w:t>
      </w:r>
      <w:r w:rsidRPr="00722811">
        <w:rPr>
          <w:szCs w:val="24"/>
        </w:rPr>
        <w:t xml:space="preserve">L. (2014, November). </w:t>
      </w:r>
      <w:r w:rsidRPr="00722811">
        <w:rPr>
          <w:i/>
          <w:szCs w:val="24"/>
        </w:rPr>
        <w:t xml:space="preserve">A </w:t>
      </w:r>
      <w:r w:rsidR="00940462" w:rsidRPr="00722811">
        <w:rPr>
          <w:i/>
          <w:szCs w:val="24"/>
        </w:rPr>
        <w:t>quantitative test of the identity theory of desistance</w:t>
      </w:r>
      <w:r w:rsidRPr="00722811">
        <w:rPr>
          <w:szCs w:val="24"/>
        </w:rPr>
        <w:t>. Paper presented at the annual meeting of the American Society of Criminology, San Francisco, CA.</w:t>
      </w:r>
    </w:p>
    <w:p w14:paraId="329EDC80" w14:textId="2A70D430" w:rsidR="007C71CF" w:rsidRPr="00722811" w:rsidRDefault="007C71CF" w:rsidP="009D25C7">
      <w:pPr>
        <w:pStyle w:val="R-Pubs-Pres"/>
        <w:autoSpaceDE w:val="0"/>
        <w:autoSpaceDN w:val="0"/>
        <w:adjustRightInd w:val="0"/>
        <w:rPr>
          <w:szCs w:val="24"/>
        </w:rPr>
      </w:pPr>
      <w:r w:rsidRPr="00722811">
        <w:rPr>
          <w:szCs w:val="24"/>
        </w:rPr>
        <w:t>Wellford, C., Wagers, M., &amp; Scott, T.</w:t>
      </w:r>
      <w:r w:rsidR="00940462" w:rsidRPr="00722811">
        <w:rPr>
          <w:szCs w:val="24"/>
        </w:rPr>
        <w:t xml:space="preserve"> </w:t>
      </w:r>
      <w:r w:rsidRPr="00722811">
        <w:rPr>
          <w:szCs w:val="24"/>
        </w:rPr>
        <w:t xml:space="preserve">L. (2014, November). </w:t>
      </w:r>
      <w:r w:rsidRPr="00722811">
        <w:rPr>
          <w:i/>
          <w:szCs w:val="24"/>
        </w:rPr>
        <w:t xml:space="preserve">The </w:t>
      </w:r>
      <w:r w:rsidR="00940462" w:rsidRPr="00722811">
        <w:rPr>
          <w:i/>
          <w:szCs w:val="24"/>
        </w:rPr>
        <w:t>epidemiology of crime guns</w:t>
      </w:r>
      <w:r w:rsidRPr="00722811">
        <w:rPr>
          <w:i/>
          <w:szCs w:val="24"/>
        </w:rPr>
        <w:t xml:space="preserve">: From </w:t>
      </w:r>
      <w:r w:rsidR="00940462" w:rsidRPr="00722811">
        <w:rPr>
          <w:i/>
          <w:szCs w:val="24"/>
        </w:rPr>
        <w:t>legal sale to use in crime</w:t>
      </w:r>
      <w:r w:rsidRPr="00722811">
        <w:rPr>
          <w:szCs w:val="24"/>
        </w:rPr>
        <w:t>. Paper presented at the annual meeting of the American Society of Criminology, San Francisco, CA.</w:t>
      </w:r>
    </w:p>
    <w:p w14:paraId="137DDFD0" w14:textId="4B460248" w:rsidR="007C71CF" w:rsidRPr="00722811" w:rsidRDefault="007C71CF" w:rsidP="009D25C7">
      <w:pPr>
        <w:pStyle w:val="R-Pubs-Pres"/>
        <w:autoSpaceDE w:val="0"/>
        <w:autoSpaceDN w:val="0"/>
        <w:adjustRightInd w:val="0"/>
        <w:rPr>
          <w:szCs w:val="24"/>
        </w:rPr>
      </w:pPr>
      <w:r w:rsidRPr="00722811">
        <w:rPr>
          <w:szCs w:val="24"/>
        </w:rPr>
        <w:t>Scott, T.</w:t>
      </w:r>
      <w:r w:rsidR="00940462" w:rsidRPr="00722811">
        <w:rPr>
          <w:szCs w:val="24"/>
        </w:rPr>
        <w:t xml:space="preserve"> </w:t>
      </w:r>
      <w:r w:rsidRPr="00722811">
        <w:rPr>
          <w:szCs w:val="24"/>
        </w:rPr>
        <w:t xml:space="preserve">L. (2013, November). </w:t>
      </w:r>
      <w:r w:rsidRPr="00722811">
        <w:rPr>
          <w:i/>
          <w:szCs w:val="24"/>
        </w:rPr>
        <w:t xml:space="preserve">A </w:t>
      </w:r>
      <w:r w:rsidR="00940462" w:rsidRPr="00722811">
        <w:rPr>
          <w:i/>
          <w:szCs w:val="24"/>
        </w:rPr>
        <w:t>quantitative test of the identity theory of desistance</w:t>
      </w:r>
      <w:r w:rsidRPr="00722811">
        <w:rPr>
          <w:szCs w:val="24"/>
        </w:rPr>
        <w:t>. Poster presented at the annual meeting of the American Society of Criminology, Atlanta, GA.</w:t>
      </w:r>
    </w:p>
    <w:p w14:paraId="5EFFE2B6" w14:textId="57D26111" w:rsidR="007C71CF" w:rsidRPr="00722811" w:rsidRDefault="007C71CF" w:rsidP="009D25C7">
      <w:pPr>
        <w:pStyle w:val="R-Pubs-Pres"/>
        <w:autoSpaceDE w:val="0"/>
        <w:autoSpaceDN w:val="0"/>
        <w:adjustRightInd w:val="0"/>
        <w:rPr>
          <w:szCs w:val="24"/>
        </w:rPr>
      </w:pPr>
      <w:r w:rsidRPr="00722811">
        <w:rPr>
          <w:szCs w:val="24"/>
        </w:rPr>
        <w:t>Scott, T.</w:t>
      </w:r>
      <w:r w:rsidR="00940462" w:rsidRPr="00722811">
        <w:rPr>
          <w:szCs w:val="24"/>
        </w:rPr>
        <w:t xml:space="preserve"> </w:t>
      </w:r>
      <w:r w:rsidRPr="00722811">
        <w:rPr>
          <w:szCs w:val="24"/>
        </w:rPr>
        <w:t xml:space="preserve">L., &amp; Weinstock, J. (2011, November). </w:t>
      </w:r>
      <w:r w:rsidRPr="00722811">
        <w:rPr>
          <w:i/>
          <w:szCs w:val="24"/>
        </w:rPr>
        <w:t xml:space="preserve">Suicidal ideation in gamblers calling a </w:t>
      </w:r>
      <w:proofErr w:type="gramStart"/>
      <w:r w:rsidRPr="00722811">
        <w:rPr>
          <w:i/>
          <w:szCs w:val="24"/>
        </w:rPr>
        <w:t>help-line</w:t>
      </w:r>
      <w:proofErr w:type="gramEnd"/>
      <w:r w:rsidRPr="00722811">
        <w:rPr>
          <w:szCs w:val="24"/>
        </w:rPr>
        <w:t>. Poster presented at the annual meeting of the Association for Behavioral and Cognitive Therapies, Toronto, Canada.</w:t>
      </w:r>
    </w:p>
    <w:p w14:paraId="1CCB52C0" w14:textId="5C33F800" w:rsidR="002E1CE6" w:rsidRPr="00722811" w:rsidRDefault="002E1CE6" w:rsidP="009D25C7">
      <w:pPr>
        <w:pStyle w:val="R-2h"/>
        <w:autoSpaceDE w:val="0"/>
        <w:autoSpaceDN w:val="0"/>
        <w:adjustRightInd w:val="0"/>
        <w:rPr>
          <w:szCs w:val="24"/>
        </w:rPr>
      </w:pPr>
      <w:r w:rsidRPr="00722811">
        <w:rPr>
          <w:szCs w:val="24"/>
        </w:rPr>
        <w:t>Technical Reports</w:t>
      </w:r>
    </w:p>
    <w:p w14:paraId="552B3A00" w14:textId="765CF32E" w:rsidR="002E1CE6" w:rsidRPr="00722811" w:rsidRDefault="002E1CE6" w:rsidP="002E1CE6">
      <w:pPr>
        <w:spacing w:after="120"/>
        <w:ind w:left="446" w:hanging="446"/>
        <w:rPr>
          <w:szCs w:val="22"/>
        </w:rPr>
      </w:pPr>
      <w:r w:rsidRPr="00722811">
        <w:t xml:space="preserve">Lum, C., Wellford, C., Scott, T., Vovak, H., &amp; Scherer, A. (2018). </w:t>
      </w:r>
      <w:r w:rsidRPr="00722811">
        <w:rPr>
          <w:i/>
          <w:iCs/>
        </w:rPr>
        <w:t>Identifying effective investigative practices: A national study using trajectory analysis, case studies, and investigative data</w:t>
      </w:r>
      <w:r w:rsidRPr="00722811">
        <w:t xml:space="preserve">. Final report to the Laura and John Arnold Foundation. </w:t>
      </w:r>
    </w:p>
    <w:p w14:paraId="15157130" w14:textId="451DA18C" w:rsidR="007C71CF" w:rsidRPr="00722811" w:rsidRDefault="007C71CF" w:rsidP="009D25C7">
      <w:pPr>
        <w:pStyle w:val="R-2h"/>
        <w:autoSpaceDE w:val="0"/>
        <w:autoSpaceDN w:val="0"/>
        <w:adjustRightInd w:val="0"/>
        <w:rPr>
          <w:szCs w:val="24"/>
        </w:rPr>
      </w:pPr>
      <w:r w:rsidRPr="00722811">
        <w:rPr>
          <w:szCs w:val="24"/>
        </w:rPr>
        <w:t>Media and Communications</w:t>
      </w:r>
    </w:p>
    <w:p w14:paraId="696099DF" w14:textId="5B66C3E0" w:rsidR="0067761D" w:rsidRPr="00722811" w:rsidRDefault="0067761D" w:rsidP="0038107C">
      <w:pPr>
        <w:pStyle w:val="R-Pubs-Pres"/>
        <w:autoSpaceDE w:val="0"/>
        <w:autoSpaceDN w:val="0"/>
        <w:adjustRightInd w:val="0"/>
        <w:rPr>
          <w:szCs w:val="24"/>
        </w:rPr>
      </w:pPr>
      <w:r w:rsidRPr="00722811">
        <w:rPr>
          <w:szCs w:val="24"/>
        </w:rPr>
        <w:t xml:space="preserve">Scott, T. (2022, April 18). Expanding victim services to improve witness protection and shooting investigations. </w:t>
      </w:r>
      <w:r w:rsidR="002E1CE6" w:rsidRPr="00722811">
        <w:rPr>
          <w:i/>
          <w:iCs/>
          <w:szCs w:val="24"/>
        </w:rPr>
        <w:t>The Hill, Congress Blog</w:t>
      </w:r>
      <w:r w:rsidR="002E1CE6" w:rsidRPr="00722811">
        <w:rPr>
          <w:szCs w:val="24"/>
        </w:rPr>
        <w:t xml:space="preserve">. </w:t>
      </w:r>
      <w:hyperlink r:id="rId23" w:history="1">
        <w:r w:rsidRPr="00722811">
          <w:rPr>
            <w:rStyle w:val="Hyperlink"/>
            <w:szCs w:val="24"/>
          </w:rPr>
          <w:t>https://thehill.com/blogs/congress-blog/3272375-expanding-victim-services-to-improve-witness-protection-and-shooting-investigations/</w:t>
        </w:r>
      </w:hyperlink>
      <w:r w:rsidRPr="00722811">
        <w:rPr>
          <w:szCs w:val="24"/>
        </w:rPr>
        <w:t xml:space="preserve"> </w:t>
      </w:r>
    </w:p>
    <w:p w14:paraId="28AECAFD" w14:textId="434FD9BA" w:rsidR="0038107C" w:rsidRPr="00722811" w:rsidRDefault="0038107C" w:rsidP="0038107C">
      <w:pPr>
        <w:pStyle w:val="R-Pubs-Pres"/>
        <w:autoSpaceDE w:val="0"/>
        <w:autoSpaceDN w:val="0"/>
        <w:adjustRightInd w:val="0"/>
        <w:rPr>
          <w:szCs w:val="24"/>
        </w:rPr>
      </w:pPr>
      <w:r w:rsidRPr="00722811">
        <w:rPr>
          <w:szCs w:val="24"/>
        </w:rPr>
        <w:t xml:space="preserve">Scott, T. L. (2016, October 28). Death penalty cost $28M [Letter to the editor]. </w:t>
      </w:r>
      <w:r w:rsidRPr="00722811">
        <w:rPr>
          <w:i/>
          <w:szCs w:val="24"/>
        </w:rPr>
        <w:t>Kearney Hub</w:t>
      </w:r>
      <w:r w:rsidRPr="00722811">
        <w:rPr>
          <w:szCs w:val="24"/>
        </w:rPr>
        <w:t xml:space="preserve">. Retrieved from </w:t>
      </w:r>
      <w:hyperlink r:id="rId24" w:history="1">
        <w:r w:rsidRPr="00722811">
          <w:rPr>
            <w:rStyle w:val="Hyperlink"/>
            <w:szCs w:val="24"/>
          </w:rPr>
          <w:t>https://www.kearneyhub.com/opinions/ltte/death-penalty-cost-m/article_e6659cec-9d27-11e6-93a9-d3701385bb63.html</w:t>
        </w:r>
      </w:hyperlink>
      <w:r w:rsidRPr="00722811">
        <w:rPr>
          <w:szCs w:val="24"/>
        </w:rPr>
        <w:t xml:space="preserve"> </w:t>
      </w:r>
    </w:p>
    <w:p w14:paraId="54AE078D" w14:textId="77777777" w:rsidR="0038107C" w:rsidRPr="00722811" w:rsidRDefault="0038107C" w:rsidP="0038107C">
      <w:pPr>
        <w:pStyle w:val="R-Pubs-Pres"/>
        <w:autoSpaceDE w:val="0"/>
        <w:autoSpaceDN w:val="0"/>
        <w:adjustRightInd w:val="0"/>
        <w:rPr>
          <w:szCs w:val="24"/>
        </w:rPr>
      </w:pPr>
      <w:r w:rsidRPr="00722811">
        <w:rPr>
          <w:szCs w:val="24"/>
        </w:rPr>
        <w:t xml:space="preserve">Scott, T. L. (2016, September 30). Fees feed $160M retirement fund for Nebraska’s judges [Editorial]. </w:t>
      </w:r>
      <w:r w:rsidRPr="00722811">
        <w:rPr>
          <w:i/>
          <w:szCs w:val="24"/>
        </w:rPr>
        <w:t>Kearney Hub</w:t>
      </w:r>
      <w:r w:rsidRPr="00722811">
        <w:rPr>
          <w:szCs w:val="24"/>
        </w:rPr>
        <w:t xml:space="preserve">. Retrieved from </w:t>
      </w:r>
      <w:hyperlink r:id="rId25" w:history="1">
        <w:r w:rsidRPr="00722811">
          <w:rPr>
            <w:rStyle w:val="Hyperlink"/>
            <w:szCs w:val="24"/>
          </w:rPr>
          <w:t>https://www.kearneyhub.com/opinions/kearneyview/fees-feed-m-retirement-fund-for-nebraska-s-judges/article_62f1e432-8725-11e6-9612-4be4b4d67888.html</w:t>
        </w:r>
      </w:hyperlink>
      <w:r w:rsidRPr="00722811">
        <w:rPr>
          <w:szCs w:val="24"/>
        </w:rPr>
        <w:t xml:space="preserve"> </w:t>
      </w:r>
    </w:p>
    <w:p w14:paraId="321C6764" w14:textId="27BDEEEC" w:rsidR="007C71CF" w:rsidRPr="00722811" w:rsidRDefault="0038107C" w:rsidP="002F4787">
      <w:pPr>
        <w:pStyle w:val="R-Pubs-Pres"/>
        <w:autoSpaceDE w:val="0"/>
        <w:autoSpaceDN w:val="0"/>
        <w:adjustRightInd w:val="0"/>
        <w:rPr>
          <w:szCs w:val="24"/>
        </w:rPr>
      </w:pPr>
      <w:r w:rsidRPr="00722811">
        <w:rPr>
          <w:szCs w:val="24"/>
        </w:rPr>
        <w:lastRenderedPageBreak/>
        <w:t xml:space="preserve">Scott, T. L. (2016, September 28). In fees we trust: Are court fees fair? [Editorial] </w:t>
      </w:r>
      <w:proofErr w:type="gramStart"/>
      <w:r w:rsidRPr="00722811">
        <w:rPr>
          <w:i/>
          <w:szCs w:val="24"/>
        </w:rPr>
        <w:t>The</w:t>
      </w:r>
      <w:proofErr w:type="gramEnd"/>
      <w:r w:rsidRPr="00722811">
        <w:rPr>
          <w:i/>
          <w:szCs w:val="24"/>
        </w:rPr>
        <w:t xml:space="preserve"> North Platte Telegraph</w:t>
      </w:r>
      <w:r w:rsidRPr="00722811">
        <w:rPr>
          <w:szCs w:val="24"/>
        </w:rPr>
        <w:t xml:space="preserve">. Retrieved from </w:t>
      </w:r>
      <w:hyperlink r:id="rId26" w:history="1">
        <w:r w:rsidRPr="00722811">
          <w:rPr>
            <w:rStyle w:val="Hyperlink"/>
            <w:szCs w:val="24"/>
          </w:rPr>
          <w:t>https://www.nptelegraph.com/opinion/editorials/in-fees-we-trust-are-court-fees-fair/article_6ba3d248-8509-11e6-9cb0-839a8e3c2d3f.html</w:t>
        </w:r>
      </w:hyperlink>
      <w:r w:rsidRPr="00722811">
        <w:rPr>
          <w:szCs w:val="24"/>
        </w:rPr>
        <w:t xml:space="preserve"> </w:t>
      </w:r>
    </w:p>
    <w:sectPr w:rsidR="007C71CF" w:rsidRPr="00722811" w:rsidSect="00EB31B5">
      <w:headerReference w:type="default" r:id="rId27"/>
      <w:footerReference w:type="default" r:id="rId28"/>
      <w:headerReference w:type="first" r:id="rId29"/>
      <w:footerReference w:type="first" r:id="rId30"/>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BCAE1" w14:textId="77777777" w:rsidR="00FB33B9" w:rsidRDefault="00FB33B9">
      <w:r>
        <w:separator/>
      </w:r>
    </w:p>
  </w:endnote>
  <w:endnote w:type="continuationSeparator" w:id="0">
    <w:p w14:paraId="48B1FED3" w14:textId="77777777" w:rsidR="00FB33B9" w:rsidRDefault="00FB33B9">
      <w:r>
        <w:continuationSeparator/>
      </w:r>
    </w:p>
  </w:endnote>
  <w:endnote w:type="continuationNotice" w:id="1">
    <w:p w14:paraId="115B0516" w14:textId="77777777" w:rsidR="00FB33B9" w:rsidRDefault="00FB33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TIDingbats">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Bold">
    <w:altName w:val="Arial"/>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4DAB2" w14:textId="40994120" w:rsidR="00D53B3E" w:rsidRDefault="00D53B3E" w:rsidP="0080144D">
    <w:pPr>
      <w:pStyle w:val="R-footer"/>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61BAC" w14:textId="7B159C98" w:rsidR="00D53B3E" w:rsidRDefault="00D53B3E" w:rsidP="002B15B2">
    <w:pPr>
      <w:pStyle w:val="Foote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BEE3C0" w14:textId="77777777" w:rsidR="00FB33B9" w:rsidRDefault="00FB33B9">
      <w:r>
        <w:separator/>
      </w:r>
    </w:p>
  </w:footnote>
  <w:footnote w:type="continuationSeparator" w:id="0">
    <w:p w14:paraId="0B13B0D9" w14:textId="77777777" w:rsidR="00FB33B9" w:rsidRDefault="00FB33B9">
      <w:r>
        <w:continuationSeparator/>
      </w:r>
    </w:p>
  </w:footnote>
  <w:footnote w:type="continuationNotice" w:id="1">
    <w:p w14:paraId="3A55663A" w14:textId="77777777" w:rsidR="00FB33B9" w:rsidRDefault="00FB33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9BDD1" w14:textId="759C611B" w:rsidR="00D53B3E" w:rsidRDefault="00D53B3E" w:rsidP="00EB31B5">
    <w:pPr>
      <w:pStyle w:val="R-Headerpg2"/>
    </w:pPr>
    <w:r>
      <w:tab/>
      <w:t>Scott</w:t>
    </w:r>
    <w:r w:rsidRPr="00EB31B5">
      <w:t xml:space="preserve">, </w:t>
    </w:r>
    <w:r w:rsidRPr="00EB31B5">
      <w:pgNum/>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AB6A4D" w14:textId="1890D65F" w:rsidR="00D53B3E" w:rsidRDefault="00D53B3E" w:rsidP="00A42D18">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436B82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064376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D5EADA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CDB417D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52ED5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CCA0C3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7CCCF2A"/>
    <w:lvl w:ilvl="0">
      <w:start w:val="1"/>
      <w:numFmt w:val="bullet"/>
      <w:lvlText w:val="•"/>
      <w:lvlJc w:val="left"/>
      <w:pPr>
        <w:ind w:left="1440" w:hanging="360"/>
      </w:pPr>
      <w:rPr>
        <w:rFonts w:ascii="Verdana" w:hAnsi="Verdana" w:hint="default"/>
        <w:sz w:val="20"/>
        <w:szCs w:val="20"/>
      </w:rPr>
    </w:lvl>
  </w:abstractNum>
  <w:abstractNum w:abstractNumId="7" w15:restartNumberingAfterBreak="0">
    <w:nsid w:val="FFFFFF83"/>
    <w:multiLevelType w:val="singleLevel"/>
    <w:tmpl w:val="7C1A69E4"/>
    <w:lvl w:ilvl="0">
      <w:start w:val="1"/>
      <w:numFmt w:val="bullet"/>
      <w:lvlText w:val="–"/>
      <w:lvlJc w:val="left"/>
      <w:pPr>
        <w:ind w:left="1080" w:hanging="360"/>
      </w:pPr>
      <w:rPr>
        <w:rFonts w:ascii="Verdana" w:hAnsi="Verdana" w:hint="default"/>
        <w:sz w:val="20"/>
        <w:szCs w:val="20"/>
      </w:rPr>
    </w:lvl>
  </w:abstractNum>
  <w:abstractNum w:abstractNumId="8" w15:restartNumberingAfterBreak="0">
    <w:nsid w:val="FFFFFF88"/>
    <w:multiLevelType w:val="singleLevel"/>
    <w:tmpl w:val="B6AC84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3044792"/>
    <w:lvl w:ilvl="0">
      <w:start w:val="1"/>
      <w:numFmt w:val="bullet"/>
      <w:lvlText w:val="▪"/>
      <w:lvlJc w:val="left"/>
      <w:pPr>
        <w:ind w:left="360" w:hanging="360"/>
      </w:pPr>
      <w:rPr>
        <w:rFonts w:ascii="Verdana" w:hAnsi="Verdana" w:hint="default"/>
        <w:sz w:val="22"/>
        <w:szCs w:val="22"/>
      </w:rPr>
    </w:lvl>
  </w:abstractNum>
  <w:abstractNum w:abstractNumId="10" w15:restartNumberingAfterBreak="0">
    <w:nsid w:val="002963EF"/>
    <w:multiLevelType w:val="hybridMultilevel"/>
    <w:tmpl w:val="EC9EED92"/>
    <w:lvl w:ilvl="0" w:tplc="A3FA1E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61F7698"/>
    <w:multiLevelType w:val="hybridMultilevel"/>
    <w:tmpl w:val="C874C7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13D5950"/>
    <w:multiLevelType w:val="multilevel"/>
    <w:tmpl w:val="10EC8DCE"/>
    <w:lvl w:ilvl="0">
      <w:start w:val="1"/>
      <w:numFmt w:val="bullet"/>
      <w:pStyle w:val="R-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8341F3E"/>
    <w:multiLevelType w:val="hybridMultilevel"/>
    <w:tmpl w:val="E92E3F34"/>
    <w:lvl w:ilvl="0" w:tplc="9780B25C">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8A27CE7"/>
    <w:multiLevelType w:val="hybridMultilevel"/>
    <w:tmpl w:val="07FCBAC2"/>
    <w:lvl w:ilvl="0" w:tplc="5784CD80">
      <w:start w:val="1"/>
      <w:numFmt w:val="bullet"/>
      <w:lvlText w:val="▪"/>
      <w:lvlJc w:val="left"/>
      <w:pPr>
        <w:ind w:left="720" w:hanging="360"/>
      </w:pPr>
      <w:rPr>
        <w:rFonts w:ascii="Arial" w:hAnsi="Arial" w:hint="default"/>
        <w:sz w:val="24"/>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E5F337B"/>
    <w:multiLevelType w:val="multilevel"/>
    <w:tmpl w:val="8BDE3CB6"/>
    <w:lvl w:ilvl="0">
      <w:start w:val="1"/>
      <w:numFmt w:val="bullet"/>
      <w:lvlText w:val="Z"/>
      <w:lvlJc w:val="left"/>
      <w:pPr>
        <w:tabs>
          <w:tab w:val="num" w:pos="720"/>
        </w:tabs>
        <w:ind w:left="720" w:hanging="360"/>
      </w:pPr>
      <w:rPr>
        <w:rFonts w:ascii="RTIDingbats" w:hAnsi="RTIDingba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F941AC"/>
    <w:multiLevelType w:val="hybridMultilevel"/>
    <w:tmpl w:val="E822DC06"/>
    <w:lvl w:ilvl="0" w:tplc="676AD5DE">
      <w:start w:val="1"/>
      <w:numFmt w:val="bullet"/>
      <w:lvlText w:val="–"/>
      <w:lvlJc w:val="left"/>
      <w:pPr>
        <w:ind w:left="108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6730B9"/>
    <w:multiLevelType w:val="multilevel"/>
    <w:tmpl w:val="4F7A5FFC"/>
    <w:lvl w:ilvl="0">
      <w:start w:val="1"/>
      <w:numFmt w:val="decimal"/>
      <w:lvlText w:val="%1."/>
      <w:lvlJc w:val="left"/>
      <w:pPr>
        <w:ind w:left="432" w:hanging="432"/>
      </w:pPr>
      <w:rPr>
        <w:rFonts w:ascii="Verdana" w:hAnsi="Verdana" w:hint="default"/>
        <w:b/>
        <w:i w:val="0"/>
        <w:sz w:val="26"/>
      </w:rPr>
    </w:lvl>
    <w:lvl w:ilvl="1">
      <w:start w:val="1"/>
      <w:numFmt w:val="decimal"/>
      <w:lvlText w:val="%1.%2"/>
      <w:lvlJc w:val="left"/>
      <w:pPr>
        <w:ind w:left="720" w:hanging="720"/>
      </w:pPr>
      <w:rPr>
        <w:rFonts w:ascii="Verdana" w:hAnsi="Verdana" w:hint="default"/>
        <w:b/>
        <w:i w:val="0"/>
        <w:sz w:val="24"/>
      </w:rPr>
    </w:lvl>
    <w:lvl w:ilvl="2">
      <w:start w:val="1"/>
      <w:numFmt w:val="decimal"/>
      <w:lvlText w:val="%1.%2.%3"/>
      <w:lvlJc w:val="left"/>
      <w:pPr>
        <w:ind w:left="864" w:hanging="864"/>
      </w:pPr>
      <w:rPr>
        <w:rFonts w:ascii="Verdana" w:hAnsi="Verdana" w:hint="default"/>
        <w:b/>
        <w:i/>
        <w:sz w:val="22"/>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3ED40132"/>
    <w:multiLevelType w:val="hybridMultilevel"/>
    <w:tmpl w:val="60B6A3CA"/>
    <w:lvl w:ilvl="0" w:tplc="1E3AF14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684D20"/>
    <w:multiLevelType w:val="hybridMultilevel"/>
    <w:tmpl w:val="87040E52"/>
    <w:lvl w:ilvl="0" w:tplc="9C8C2B10">
      <w:start w:val="1"/>
      <w:numFmt w:val="decimal"/>
      <w:lvlText w:val="%1."/>
      <w:lvlJc w:val="left"/>
      <w:pPr>
        <w:tabs>
          <w:tab w:val="num" w:pos="1080"/>
        </w:tabs>
        <w:ind w:left="1080" w:hanging="720"/>
      </w:pPr>
      <w:rPr>
        <w:rFonts w:hint="default"/>
      </w:rPr>
    </w:lvl>
    <w:lvl w:ilvl="1" w:tplc="827A0370">
      <w:numFmt w:val="none"/>
      <w:lvlText w:val=""/>
      <w:lvlJc w:val="left"/>
      <w:pPr>
        <w:tabs>
          <w:tab w:val="num" w:pos="360"/>
        </w:tabs>
      </w:pPr>
    </w:lvl>
    <w:lvl w:ilvl="2" w:tplc="23D88824">
      <w:numFmt w:val="none"/>
      <w:lvlText w:val=""/>
      <w:lvlJc w:val="left"/>
      <w:pPr>
        <w:tabs>
          <w:tab w:val="num" w:pos="360"/>
        </w:tabs>
      </w:pPr>
    </w:lvl>
    <w:lvl w:ilvl="3" w:tplc="67A6D206">
      <w:numFmt w:val="none"/>
      <w:lvlText w:val=""/>
      <w:lvlJc w:val="left"/>
      <w:pPr>
        <w:tabs>
          <w:tab w:val="num" w:pos="360"/>
        </w:tabs>
      </w:pPr>
    </w:lvl>
    <w:lvl w:ilvl="4" w:tplc="B2F4E14E">
      <w:numFmt w:val="none"/>
      <w:lvlText w:val=""/>
      <w:lvlJc w:val="left"/>
      <w:pPr>
        <w:tabs>
          <w:tab w:val="num" w:pos="360"/>
        </w:tabs>
      </w:pPr>
    </w:lvl>
    <w:lvl w:ilvl="5" w:tplc="0FCECDB4">
      <w:numFmt w:val="none"/>
      <w:lvlText w:val=""/>
      <w:lvlJc w:val="left"/>
      <w:pPr>
        <w:tabs>
          <w:tab w:val="num" w:pos="360"/>
        </w:tabs>
      </w:pPr>
    </w:lvl>
    <w:lvl w:ilvl="6" w:tplc="2FB6D6C6">
      <w:numFmt w:val="none"/>
      <w:lvlText w:val=""/>
      <w:lvlJc w:val="left"/>
      <w:pPr>
        <w:tabs>
          <w:tab w:val="num" w:pos="360"/>
        </w:tabs>
      </w:pPr>
    </w:lvl>
    <w:lvl w:ilvl="7" w:tplc="1ADE231A">
      <w:numFmt w:val="none"/>
      <w:lvlText w:val=""/>
      <w:lvlJc w:val="left"/>
      <w:pPr>
        <w:tabs>
          <w:tab w:val="num" w:pos="360"/>
        </w:tabs>
      </w:pPr>
    </w:lvl>
    <w:lvl w:ilvl="8" w:tplc="F45CF81E">
      <w:numFmt w:val="none"/>
      <w:lvlText w:val=""/>
      <w:lvlJc w:val="left"/>
      <w:pPr>
        <w:tabs>
          <w:tab w:val="num" w:pos="360"/>
        </w:tabs>
      </w:pPr>
    </w:lvl>
  </w:abstractNum>
  <w:abstractNum w:abstractNumId="20" w15:restartNumberingAfterBreak="0">
    <w:nsid w:val="597819C7"/>
    <w:multiLevelType w:val="multilevel"/>
    <w:tmpl w:val="3B00DDE8"/>
    <w:lvl w:ilvl="0">
      <w:start w:val="1"/>
      <w:numFmt w:val="decimal"/>
      <w:lvlText w:val="%1)"/>
      <w:lvlJc w:val="left"/>
      <w:pPr>
        <w:ind w:left="360" w:hanging="360"/>
      </w:pPr>
      <w:rPr>
        <w:rFonts w:hint="default"/>
      </w:rPr>
    </w:lvl>
    <w:lvl w:ilvl="1">
      <w:start w:val="1"/>
      <w:numFmt w:val="bullet"/>
      <w:lvlText w:val=""/>
      <w:lvlJc w:val="left"/>
      <w:pPr>
        <w:ind w:left="576" w:hanging="288"/>
      </w:pPr>
      <w:rPr>
        <w:rFonts w:ascii="Symbol" w:hAnsi="Symbol"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D58503C"/>
    <w:multiLevelType w:val="multilevel"/>
    <w:tmpl w:val="EAE8510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601E2852"/>
    <w:multiLevelType w:val="hybridMultilevel"/>
    <w:tmpl w:val="5DAAA6B8"/>
    <w:lvl w:ilvl="0" w:tplc="6C325806">
      <w:start w:val="1"/>
      <w:numFmt w:val="bullet"/>
      <w:lvlText w:val="▪"/>
      <w:lvlJc w:val="left"/>
      <w:pPr>
        <w:ind w:left="576" w:hanging="288"/>
      </w:pPr>
      <w:rPr>
        <w:rFonts w:ascii="Verdana" w:hAnsi="Verdana" w:cs="Tahoma" w:hint="default"/>
        <w:b w:val="0"/>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B71E14"/>
    <w:multiLevelType w:val="multilevel"/>
    <w:tmpl w:val="5888C03C"/>
    <w:lvl w:ilvl="0">
      <w:start w:val="1"/>
      <w:numFmt w:val="bullet"/>
      <w:lvlText w:val="▪"/>
      <w:lvlJc w:val="left"/>
      <w:pPr>
        <w:ind w:left="288" w:hanging="288"/>
      </w:pPr>
      <w:rPr>
        <w:rFonts w:ascii="Verdana" w:hAnsi="Verdana" w:hint="default"/>
        <w:sz w:val="20"/>
      </w:rPr>
    </w:lvl>
    <w:lvl w:ilvl="1">
      <w:start w:val="1"/>
      <w:numFmt w:val="bullet"/>
      <w:lvlText w:val="–"/>
      <w:lvlJc w:val="left"/>
      <w:pPr>
        <w:ind w:left="576" w:hanging="288"/>
      </w:pPr>
      <w:rPr>
        <w:rFonts w:ascii="Verdana" w:hAnsi="Verdana"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7A515B37"/>
    <w:multiLevelType w:val="hybridMultilevel"/>
    <w:tmpl w:val="886056CE"/>
    <w:lvl w:ilvl="0" w:tplc="A634B508">
      <w:start w:val="1"/>
      <w:numFmt w:val="bullet"/>
      <w:lvlText w:val="•"/>
      <w:lvlJc w:val="left"/>
      <w:pPr>
        <w:ind w:left="1440" w:hanging="360"/>
      </w:pPr>
      <w:rPr>
        <w:rFonts w:ascii="Arial" w:hAnsi="Aria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E665988"/>
    <w:multiLevelType w:val="hybridMultilevel"/>
    <w:tmpl w:val="AD8A129A"/>
    <w:lvl w:ilvl="0" w:tplc="F4282C9A">
      <w:start w:val="1"/>
      <w:numFmt w:val="bullet"/>
      <w:lvlText w:val=""/>
      <w:lvlJc w:val="left"/>
      <w:pPr>
        <w:tabs>
          <w:tab w:val="num" w:pos="720"/>
        </w:tabs>
        <w:ind w:left="720" w:hanging="360"/>
      </w:pPr>
      <w:rPr>
        <w:rFonts w:ascii="Symbol" w:hAnsi="Symbol" w:hint="default"/>
        <w:color w:val="auto"/>
        <w:sz w:val="18"/>
        <w:szCs w:val="18"/>
      </w:rPr>
    </w:lvl>
    <w:lvl w:ilvl="1" w:tplc="04090003">
      <w:start w:val="1"/>
      <w:numFmt w:val="bullet"/>
      <w:lvlText w:val=""/>
      <w:lvlJc w:val="left"/>
      <w:pPr>
        <w:tabs>
          <w:tab w:val="num" w:pos="1440"/>
        </w:tabs>
        <w:ind w:left="1440" w:hanging="360"/>
      </w:pPr>
      <w:rPr>
        <w:rFonts w:ascii="Symbol" w:hAnsi="Symbol" w:hint="default"/>
        <w:color w:val="auto"/>
        <w:sz w:val="22"/>
        <w:szCs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EC23782"/>
    <w:multiLevelType w:val="hybridMultilevel"/>
    <w:tmpl w:val="8BDE3CB6"/>
    <w:lvl w:ilvl="0" w:tplc="5818FC6C">
      <w:start w:val="1"/>
      <w:numFmt w:val="bullet"/>
      <w:lvlText w:val="Z"/>
      <w:lvlJc w:val="left"/>
      <w:pPr>
        <w:tabs>
          <w:tab w:val="num" w:pos="720"/>
        </w:tabs>
        <w:ind w:left="720" w:hanging="360"/>
      </w:pPr>
      <w:rPr>
        <w:rFonts w:ascii="RTIDingbats" w:hAnsi="RTIDingba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823931751">
    <w:abstractNumId w:val="26"/>
  </w:num>
  <w:num w:numId="2" w16cid:durableId="994066659">
    <w:abstractNumId w:val="15"/>
  </w:num>
  <w:num w:numId="3" w16cid:durableId="1596867796">
    <w:abstractNumId w:val="12"/>
  </w:num>
  <w:num w:numId="4" w16cid:durableId="53746691">
    <w:abstractNumId w:val="19"/>
  </w:num>
  <w:num w:numId="5" w16cid:durableId="603996187">
    <w:abstractNumId w:val="9"/>
  </w:num>
  <w:num w:numId="6" w16cid:durableId="834035052">
    <w:abstractNumId w:val="7"/>
  </w:num>
  <w:num w:numId="7" w16cid:durableId="150104149">
    <w:abstractNumId w:val="6"/>
  </w:num>
  <w:num w:numId="8" w16cid:durableId="337580110">
    <w:abstractNumId w:val="8"/>
  </w:num>
  <w:num w:numId="9" w16cid:durableId="650985904">
    <w:abstractNumId w:val="25"/>
  </w:num>
  <w:num w:numId="10" w16cid:durableId="494805054">
    <w:abstractNumId w:val="10"/>
  </w:num>
  <w:num w:numId="11" w16cid:durableId="1761825491">
    <w:abstractNumId w:val="14"/>
  </w:num>
  <w:num w:numId="12" w16cid:durableId="1445883977">
    <w:abstractNumId w:val="16"/>
  </w:num>
  <w:num w:numId="13" w16cid:durableId="2091148395">
    <w:abstractNumId w:val="24"/>
  </w:num>
  <w:num w:numId="14" w16cid:durableId="120347396">
    <w:abstractNumId w:val="13"/>
  </w:num>
  <w:num w:numId="15" w16cid:durableId="2102749267">
    <w:abstractNumId w:val="17"/>
  </w:num>
  <w:num w:numId="16" w16cid:durableId="888541090">
    <w:abstractNumId w:val="20"/>
  </w:num>
  <w:num w:numId="17" w16cid:durableId="423383388">
    <w:abstractNumId w:val="22"/>
  </w:num>
  <w:num w:numId="18" w16cid:durableId="1722631043">
    <w:abstractNumId w:val="23"/>
  </w:num>
  <w:num w:numId="19" w16cid:durableId="1518546357">
    <w:abstractNumId w:val="21"/>
  </w:num>
  <w:num w:numId="20" w16cid:durableId="1099050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2428158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454692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75399191">
    <w:abstractNumId w:val="18"/>
  </w:num>
  <w:num w:numId="24" w16cid:durableId="1435588381">
    <w:abstractNumId w:val="5"/>
  </w:num>
  <w:num w:numId="25" w16cid:durableId="1293906991">
    <w:abstractNumId w:val="4"/>
  </w:num>
  <w:num w:numId="26" w16cid:durableId="336884335">
    <w:abstractNumId w:val="3"/>
  </w:num>
  <w:num w:numId="27" w16cid:durableId="370541434">
    <w:abstractNumId w:val="2"/>
  </w:num>
  <w:num w:numId="28" w16cid:durableId="917401317">
    <w:abstractNumId w:val="1"/>
  </w:num>
  <w:num w:numId="29" w16cid:durableId="197204328">
    <w:abstractNumId w:val="0"/>
  </w:num>
  <w:num w:numId="30" w16cid:durableId="1024617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0" w:nlCheck="1" w:checkStyle="0"/>
  <w:proofState w:grammar="clean"/>
  <w:attachedTemplate r:id="rId1"/>
  <w:linkStyles/>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utoRedact State" w:val="ready"/>
    <w:docVar w:name="CheckHeader" w:val="F"/>
    <w:docVar w:name="DocID" w:val="1111"/>
    <w:docVar w:name="ex_AddedHTMLPreformat" w:val="Consolas"/>
    <w:docVar w:name="ex_CleanUp" w:val="CleanUpComplete"/>
    <w:docVar w:name="eX_DocInfoLastUpdatedDate" w:val="43543.3646412037"/>
    <w:docVar w:name="ex_eXtylesBuild" w:val="4187"/>
    <w:docVar w:name="ex_FontAudit" w:val="APComplete"/>
    <w:docVar w:name="ex_PPCleanUp" w:val="PPCleanUpComplete"/>
    <w:docVar w:name="ex_WordVersion" w:val="16.0"/>
    <w:docVar w:name="eXtyles" w:val="active"/>
    <w:docVar w:name="eXtylesPPCSettings" w:val="optPPCSelection|False|optPPCWholeDoc|True|chkRehydrateFootnotes|0|chkRemoveParagraphShading|1|chkRemoveTextShading|1|chkConvertComments|0|comboReviews|All Reviewers|btnCommentBefore|False|btnCommentAfter|False|btnCommentEnd|False|ComboCommentColor||chkBoldComments|0|chkRemoveCommentsDTP|0|chkRemoveTextHighlights|1|chkRemoveUserCharStyles|0|chkRemoveUnusedStyles|1|chkRemoveRefTags|1|ComboRefStyle1|biblio-entry|ComboRefStyle2||chkRemoveHyperlinks|1|chkFlattenFootnotes|0|"/>
    <w:docVar w:name="ExtylesTagDescriptors" w:val="Book Reference|bok|Conference Reference|conf|Edited Book Reference|edb|Electronic Reference|eref|Journal Reference|jrn|Legal Reference|lgl|Other Reference|other|Thesis Reference|ths|Unknown Reference|unknown|"/>
    <w:docVar w:name="iceFileDir" w:val="J:\Resume_Updates\AJR"/>
    <w:docVar w:name="iceFileName" w:val="SCOTT_THOMAS-ljb_psg.docx"/>
    <w:docVar w:name="iceJABR" w:val="Resume"/>
    <w:docVar w:name="iceJournal" w:val="Resume:Resume"/>
    <w:docVar w:name="iceJournalName" w:val="Resume"/>
    <w:docVar w:name="icePublisher" w:val="RTI"/>
    <w:docVar w:name="PreEdit Baseline Path" w:val="J:\Resume_Updates\AJR\SCOTT_THOMAS-ljb_psg$base.docx"/>
    <w:docVar w:name="PreEdit Baseline Timestamp" w:val="3/19/2019 8:45:07 AM"/>
    <w:docVar w:name="PreEdit Up-Front Loss" w:val="complete"/>
  </w:docVars>
  <w:rsids>
    <w:rsidRoot w:val="00CA3294"/>
    <w:rsid w:val="00012399"/>
    <w:rsid w:val="000203C9"/>
    <w:rsid w:val="000321C9"/>
    <w:rsid w:val="00052C14"/>
    <w:rsid w:val="000759F6"/>
    <w:rsid w:val="00082EF5"/>
    <w:rsid w:val="000955EA"/>
    <w:rsid w:val="0009698B"/>
    <w:rsid w:val="000C0F4C"/>
    <w:rsid w:val="000C3A78"/>
    <w:rsid w:val="000C70C3"/>
    <w:rsid w:val="000F5168"/>
    <w:rsid w:val="000F7011"/>
    <w:rsid w:val="00106882"/>
    <w:rsid w:val="00115D35"/>
    <w:rsid w:val="001352A3"/>
    <w:rsid w:val="00146A70"/>
    <w:rsid w:val="0015149C"/>
    <w:rsid w:val="00164BA1"/>
    <w:rsid w:val="001664DB"/>
    <w:rsid w:val="001B51CD"/>
    <w:rsid w:val="001B5C30"/>
    <w:rsid w:val="001C03D7"/>
    <w:rsid w:val="001D1F78"/>
    <w:rsid w:val="001D6CB0"/>
    <w:rsid w:val="001E5598"/>
    <w:rsid w:val="001F4B45"/>
    <w:rsid w:val="00206406"/>
    <w:rsid w:val="00210ADA"/>
    <w:rsid w:val="002134BC"/>
    <w:rsid w:val="00221164"/>
    <w:rsid w:val="00231609"/>
    <w:rsid w:val="00241E6D"/>
    <w:rsid w:val="00254F68"/>
    <w:rsid w:val="00256AAC"/>
    <w:rsid w:val="00273E2A"/>
    <w:rsid w:val="00275981"/>
    <w:rsid w:val="00277066"/>
    <w:rsid w:val="00290AB5"/>
    <w:rsid w:val="002A35D9"/>
    <w:rsid w:val="002B15B2"/>
    <w:rsid w:val="002B3416"/>
    <w:rsid w:val="002B4E2C"/>
    <w:rsid w:val="002B6088"/>
    <w:rsid w:val="002D54C0"/>
    <w:rsid w:val="002E1CE6"/>
    <w:rsid w:val="002F4787"/>
    <w:rsid w:val="003026FF"/>
    <w:rsid w:val="00317D5C"/>
    <w:rsid w:val="0032230D"/>
    <w:rsid w:val="003711F8"/>
    <w:rsid w:val="00372965"/>
    <w:rsid w:val="003747AD"/>
    <w:rsid w:val="00375543"/>
    <w:rsid w:val="003761AF"/>
    <w:rsid w:val="0038107C"/>
    <w:rsid w:val="003D5985"/>
    <w:rsid w:val="003E1BA6"/>
    <w:rsid w:val="003E2901"/>
    <w:rsid w:val="003F1D34"/>
    <w:rsid w:val="003F46E9"/>
    <w:rsid w:val="00406503"/>
    <w:rsid w:val="00416CDA"/>
    <w:rsid w:val="004253AC"/>
    <w:rsid w:val="00442942"/>
    <w:rsid w:val="00445208"/>
    <w:rsid w:val="004540D1"/>
    <w:rsid w:val="00454642"/>
    <w:rsid w:val="00474E3D"/>
    <w:rsid w:val="004C6AC4"/>
    <w:rsid w:val="00503F57"/>
    <w:rsid w:val="005537F0"/>
    <w:rsid w:val="00554167"/>
    <w:rsid w:val="00573950"/>
    <w:rsid w:val="005A21FA"/>
    <w:rsid w:val="005A6767"/>
    <w:rsid w:val="005B12C6"/>
    <w:rsid w:val="005C4FFA"/>
    <w:rsid w:val="005C6941"/>
    <w:rsid w:val="005C6EF6"/>
    <w:rsid w:val="005F34B7"/>
    <w:rsid w:val="0061145D"/>
    <w:rsid w:val="00613DCD"/>
    <w:rsid w:val="006506FB"/>
    <w:rsid w:val="00664CBA"/>
    <w:rsid w:val="0067761D"/>
    <w:rsid w:val="0068218C"/>
    <w:rsid w:val="00695F08"/>
    <w:rsid w:val="006A5008"/>
    <w:rsid w:val="006A60F6"/>
    <w:rsid w:val="006D31B7"/>
    <w:rsid w:val="006F293B"/>
    <w:rsid w:val="006F52C4"/>
    <w:rsid w:val="00706A22"/>
    <w:rsid w:val="00722811"/>
    <w:rsid w:val="00730759"/>
    <w:rsid w:val="00734597"/>
    <w:rsid w:val="0075022D"/>
    <w:rsid w:val="00753446"/>
    <w:rsid w:val="0076663A"/>
    <w:rsid w:val="00797E2C"/>
    <w:rsid w:val="007C71CF"/>
    <w:rsid w:val="007F58B0"/>
    <w:rsid w:val="0080144D"/>
    <w:rsid w:val="008031B4"/>
    <w:rsid w:val="00833FE5"/>
    <w:rsid w:val="00852B9E"/>
    <w:rsid w:val="00882CC5"/>
    <w:rsid w:val="00887950"/>
    <w:rsid w:val="00891071"/>
    <w:rsid w:val="008B2785"/>
    <w:rsid w:val="008D6B1B"/>
    <w:rsid w:val="008E02D0"/>
    <w:rsid w:val="008F32A7"/>
    <w:rsid w:val="008F3884"/>
    <w:rsid w:val="009043F9"/>
    <w:rsid w:val="00915C96"/>
    <w:rsid w:val="009165F1"/>
    <w:rsid w:val="009178E7"/>
    <w:rsid w:val="0092237F"/>
    <w:rsid w:val="0092343D"/>
    <w:rsid w:val="00940462"/>
    <w:rsid w:val="009535B5"/>
    <w:rsid w:val="00960293"/>
    <w:rsid w:val="009627E4"/>
    <w:rsid w:val="00967137"/>
    <w:rsid w:val="009775DE"/>
    <w:rsid w:val="00983182"/>
    <w:rsid w:val="009834D3"/>
    <w:rsid w:val="009835A6"/>
    <w:rsid w:val="009906D9"/>
    <w:rsid w:val="00994D4D"/>
    <w:rsid w:val="009A25C0"/>
    <w:rsid w:val="009D25C7"/>
    <w:rsid w:val="009D7A9C"/>
    <w:rsid w:val="009D7C2D"/>
    <w:rsid w:val="009E51C1"/>
    <w:rsid w:val="00A064A3"/>
    <w:rsid w:val="00A06F96"/>
    <w:rsid w:val="00A27937"/>
    <w:rsid w:val="00A35A7A"/>
    <w:rsid w:val="00A418C6"/>
    <w:rsid w:val="00A42D18"/>
    <w:rsid w:val="00A463DD"/>
    <w:rsid w:val="00A5112A"/>
    <w:rsid w:val="00A52090"/>
    <w:rsid w:val="00A56125"/>
    <w:rsid w:val="00A5784B"/>
    <w:rsid w:val="00A61A0D"/>
    <w:rsid w:val="00A642D8"/>
    <w:rsid w:val="00A7418A"/>
    <w:rsid w:val="00A859D7"/>
    <w:rsid w:val="00A8745C"/>
    <w:rsid w:val="00AA5C73"/>
    <w:rsid w:val="00AD16C9"/>
    <w:rsid w:val="00AD5AE9"/>
    <w:rsid w:val="00AE7F6B"/>
    <w:rsid w:val="00AF13EF"/>
    <w:rsid w:val="00B01730"/>
    <w:rsid w:val="00B036C5"/>
    <w:rsid w:val="00B16B6A"/>
    <w:rsid w:val="00B2382D"/>
    <w:rsid w:val="00B242ED"/>
    <w:rsid w:val="00B279D4"/>
    <w:rsid w:val="00B42B17"/>
    <w:rsid w:val="00B45757"/>
    <w:rsid w:val="00B46ECC"/>
    <w:rsid w:val="00B54371"/>
    <w:rsid w:val="00B76A2C"/>
    <w:rsid w:val="00B824FA"/>
    <w:rsid w:val="00B925F2"/>
    <w:rsid w:val="00BA5C71"/>
    <w:rsid w:val="00BB4043"/>
    <w:rsid w:val="00BC4B03"/>
    <w:rsid w:val="00BC4D20"/>
    <w:rsid w:val="00BF6D33"/>
    <w:rsid w:val="00C11813"/>
    <w:rsid w:val="00C40212"/>
    <w:rsid w:val="00C41A34"/>
    <w:rsid w:val="00C552F7"/>
    <w:rsid w:val="00C64409"/>
    <w:rsid w:val="00C97083"/>
    <w:rsid w:val="00CA3294"/>
    <w:rsid w:val="00CA69B0"/>
    <w:rsid w:val="00CC4422"/>
    <w:rsid w:val="00CE23CB"/>
    <w:rsid w:val="00CE2D03"/>
    <w:rsid w:val="00CE73FD"/>
    <w:rsid w:val="00D01E4D"/>
    <w:rsid w:val="00D173F9"/>
    <w:rsid w:val="00D259B6"/>
    <w:rsid w:val="00D3300C"/>
    <w:rsid w:val="00D525C6"/>
    <w:rsid w:val="00D53B3E"/>
    <w:rsid w:val="00D7788D"/>
    <w:rsid w:val="00D90359"/>
    <w:rsid w:val="00D95F7B"/>
    <w:rsid w:val="00DE582C"/>
    <w:rsid w:val="00DF0C73"/>
    <w:rsid w:val="00DF1096"/>
    <w:rsid w:val="00E05D53"/>
    <w:rsid w:val="00E22823"/>
    <w:rsid w:val="00E369C9"/>
    <w:rsid w:val="00E406A7"/>
    <w:rsid w:val="00E765FE"/>
    <w:rsid w:val="00E83C59"/>
    <w:rsid w:val="00E90009"/>
    <w:rsid w:val="00EB31B5"/>
    <w:rsid w:val="00ED34CD"/>
    <w:rsid w:val="00ED4DBB"/>
    <w:rsid w:val="00F02D20"/>
    <w:rsid w:val="00F34FF5"/>
    <w:rsid w:val="00F42BBF"/>
    <w:rsid w:val="00F57143"/>
    <w:rsid w:val="00F618B8"/>
    <w:rsid w:val="00F755A5"/>
    <w:rsid w:val="00F922CE"/>
    <w:rsid w:val="00FB33B9"/>
    <w:rsid w:val="00FC05D8"/>
    <w:rsid w:val="00FD40FA"/>
    <w:rsid w:val="00FE4AEE"/>
    <w:rsid w:val="00FF22FE"/>
    <w:rsid w:val="0801CA98"/>
    <w:rsid w:val="0FB09F43"/>
    <w:rsid w:val="100CDC7D"/>
    <w:rsid w:val="10E29544"/>
    <w:rsid w:val="15904894"/>
    <w:rsid w:val="1BDD324E"/>
    <w:rsid w:val="1E6E0789"/>
    <w:rsid w:val="1EB37B86"/>
    <w:rsid w:val="263A499D"/>
    <w:rsid w:val="266F667B"/>
    <w:rsid w:val="26E35425"/>
    <w:rsid w:val="29B8A7B6"/>
    <w:rsid w:val="2B64B6CF"/>
    <w:rsid w:val="31D55998"/>
    <w:rsid w:val="32E64696"/>
    <w:rsid w:val="37794D38"/>
    <w:rsid w:val="3B0E42FD"/>
    <w:rsid w:val="3CED43E5"/>
    <w:rsid w:val="42616D63"/>
    <w:rsid w:val="4ACEFF4A"/>
    <w:rsid w:val="4B6F84D4"/>
    <w:rsid w:val="4C40151F"/>
    <w:rsid w:val="4D0B5535"/>
    <w:rsid w:val="4F894810"/>
    <w:rsid w:val="5437E8B6"/>
    <w:rsid w:val="54B4EA7A"/>
    <w:rsid w:val="5AF97F6D"/>
    <w:rsid w:val="6105157E"/>
    <w:rsid w:val="63333E84"/>
    <w:rsid w:val="68F0FDCD"/>
    <w:rsid w:val="6A20E8B6"/>
    <w:rsid w:val="6E2BA178"/>
    <w:rsid w:val="777BC9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EF3446"/>
  <w15:docId w15:val="{C225E76D-9281-49B3-A669-97F349D78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uiPriority="99"/>
    <w:lsdException w:name="List 2" w:semiHidden="1" w:unhideWhenUsed="1"/>
    <w:lsdException w:name="List 3"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369C9"/>
    <w:rPr>
      <w:sz w:val="22"/>
    </w:rPr>
  </w:style>
  <w:style w:type="paragraph" w:styleId="Heading1">
    <w:name w:val="heading 1"/>
    <w:basedOn w:val="Normal"/>
    <w:next w:val="Normal"/>
    <w:link w:val="Heading1Char"/>
    <w:unhideWhenUsed/>
    <w:qFormat/>
    <w:rsid w:val="00E369C9"/>
    <w:pPr>
      <w:keepNext/>
      <w:outlineLvl w:val="0"/>
    </w:pPr>
    <w:rPr>
      <w:b/>
      <w:sz w:val="20"/>
    </w:rPr>
  </w:style>
  <w:style w:type="paragraph" w:styleId="Heading2">
    <w:name w:val="heading 2"/>
    <w:basedOn w:val="Normal"/>
    <w:next w:val="Normal"/>
    <w:link w:val="Heading2Char"/>
    <w:unhideWhenUsed/>
    <w:qFormat/>
    <w:rsid w:val="00E369C9"/>
    <w:pPr>
      <w:keepNext/>
      <w:keepLines/>
      <w:spacing w:before="480" w:after="240"/>
      <w:outlineLvl w:val="1"/>
    </w:pPr>
    <w:rPr>
      <w:rFonts w:ascii="Arial" w:hAnsi="Arial"/>
      <w:b/>
      <w:sz w:val="28"/>
    </w:rPr>
  </w:style>
  <w:style w:type="paragraph" w:styleId="Heading3">
    <w:name w:val="heading 3"/>
    <w:basedOn w:val="R-3h"/>
    <w:next w:val="Normal"/>
    <w:link w:val="Heading3Char"/>
    <w:unhideWhenUsed/>
    <w:qFormat/>
    <w:rsid w:val="00E369C9"/>
    <w:pPr>
      <w:outlineLvl w:val="2"/>
    </w:pPr>
  </w:style>
  <w:style w:type="paragraph" w:styleId="Heading4">
    <w:name w:val="heading 4"/>
    <w:basedOn w:val="Normal"/>
    <w:next w:val="Normal"/>
    <w:link w:val="Heading4Char"/>
    <w:semiHidden/>
    <w:unhideWhenUsed/>
    <w:qFormat/>
    <w:rsid w:val="00E369C9"/>
    <w:pPr>
      <w:keepNext/>
      <w:jc w:val="both"/>
      <w:outlineLvl w:val="3"/>
    </w:pPr>
    <w:rPr>
      <w:b/>
      <w:sz w:val="20"/>
    </w:rPr>
  </w:style>
  <w:style w:type="paragraph" w:styleId="Heading5">
    <w:name w:val="heading 5"/>
    <w:basedOn w:val="Baseheading"/>
    <w:next w:val="Normal"/>
    <w:link w:val="Heading5Char"/>
    <w:uiPriority w:val="9"/>
    <w:semiHidden/>
    <w:qFormat/>
    <w:rsid w:val="007C71CF"/>
    <w:pPr>
      <w:keepLines/>
      <w:spacing w:after="60"/>
      <w:outlineLvl w:val="4"/>
    </w:pPr>
    <w:rPr>
      <w:i/>
      <w:sz w:val="20"/>
    </w:rPr>
  </w:style>
  <w:style w:type="paragraph" w:styleId="Heading6">
    <w:name w:val="heading 6"/>
    <w:basedOn w:val="Baseheading"/>
    <w:next w:val="Normal"/>
    <w:link w:val="Heading6Char"/>
    <w:uiPriority w:val="9"/>
    <w:semiHidden/>
    <w:qFormat/>
    <w:rsid w:val="007C71CF"/>
    <w:pPr>
      <w:spacing w:after="60"/>
      <w:outlineLvl w:val="5"/>
    </w:pPr>
    <w:rPr>
      <w:bCs/>
      <w:sz w:val="20"/>
    </w:rPr>
  </w:style>
  <w:style w:type="paragraph" w:styleId="Heading7">
    <w:name w:val="heading 7"/>
    <w:basedOn w:val="Baseheading"/>
    <w:next w:val="Normal"/>
    <w:link w:val="Heading7Char"/>
    <w:uiPriority w:val="9"/>
    <w:semiHidden/>
    <w:qFormat/>
    <w:rsid w:val="007C71CF"/>
    <w:pPr>
      <w:spacing w:before="120"/>
      <w:outlineLvl w:val="6"/>
    </w:pPr>
    <w:rPr>
      <w:rFonts w:eastAsia="MS Mincho"/>
      <w:i/>
      <w:sz w:val="20"/>
      <w:szCs w:val="20"/>
      <w:lang w:eastAsia="en-US"/>
    </w:rPr>
  </w:style>
  <w:style w:type="paragraph" w:styleId="Heading8">
    <w:name w:val="heading 8"/>
    <w:basedOn w:val="Normal"/>
    <w:next w:val="Normal"/>
    <w:link w:val="Heading8Char"/>
    <w:semiHidden/>
    <w:unhideWhenUsed/>
    <w:qFormat/>
    <w:rsid w:val="009D25C7"/>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9D25C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E369C9"/>
    <w:rPr>
      <w:rFonts w:ascii="Tahoma" w:hAnsi="Tahoma" w:cs="Tahoma"/>
      <w:sz w:val="16"/>
      <w:szCs w:val="16"/>
    </w:rPr>
  </w:style>
  <w:style w:type="paragraph" w:styleId="Footer">
    <w:name w:val="footer"/>
    <w:basedOn w:val="R-footer"/>
    <w:link w:val="FooterChar"/>
    <w:rsid w:val="00E369C9"/>
    <w:rPr>
      <w:rFonts w:ascii="Arial" w:hAnsi="Arial"/>
      <w:b/>
    </w:rPr>
  </w:style>
  <w:style w:type="paragraph" w:styleId="Header">
    <w:name w:val="header"/>
    <w:basedOn w:val="Normal"/>
    <w:link w:val="HeaderChar"/>
    <w:rsid w:val="00E369C9"/>
    <w:pPr>
      <w:tabs>
        <w:tab w:val="right" w:pos="9360"/>
      </w:tabs>
    </w:pPr>
    <w:rPr>
      <w:rFonts w:cs="Arial"/>
      <w:szCs w:val="36"/>
    </w:rPr>
  </w:style>
  <w:style w:type="paragraph" w:customStyle="1" w:styleId="R-3h">
    <w:name w:val="R-3h"/>
    <w:basedOn w:val="Normal"/>
    <w:rsid w:val="00E369C9"/>
    <w:pPr>
      <w:keepNext/>
      <w:keepLines/>
      <w:spacing w:before="240" w:after="120"/>
      <w:outlineLvl w:val="1"/>
    </w:pPr>
    <w:rPr>
      <w:rFonts w:ascii="Arial" w:hAnsi="Arial" w:cs="Arial"/>
      <w:b/>
      <w:i/>
      <w:color w:val="0A357E"/>
    </w:rPr>
  </w:style>
  <w:style w:type="paragraph" w:customStyle="1" w:styleId="R-2h">
    <w:name w:val="R-2h"/>
    <w:basedOn w:val="Normal"/>
    <w:next w:val="Normal"/>
    <w:rsid w:val="00E369C9"/>
    <w:pPr>
      <w:keepNext/>
      <w:keepLines/>
      <w:spacing w:before="360" w:after="120"/>
      <w:outlineLvl w:val="0"/>
    </w:pPr>
    <w:rPr>
      <w:rFonts w:ascii="Arial" w:hAnsi="Arial"/>
      <w:b/>
      <w:color w:val="0A357E"/>
      <w:sz w:val="28"/>
    </w:rPr>
  </w:style>
  <w:style w:type="paragraph" w:customStyle="1" w:styleId="R-bullet">
    <w:name w:val="R-bullet"/>
    <w:basedOn w:val="Normal"/>
    <w:rsid w:val="00E369C9"/>
    <w:pPr>
      <w:numPr>
        <w:numId w:val="3"/>
      </w:numPr>
      <w:spacing w:after="120"/>
    </w:pPr>
  </w:style>
  <w:style w:type="paragraph" w:customStyle="1" w:styleId="R-Indent">
    <w:name w:val="R-Indent"/>
    <w:basedOn w:val="Normal"/>
    <w:rsid w:val="00E369C9"/>
    <w:pPr>
      <w:ind w:left="446" w:hanging="446"/>
    </w:pPr>
  </w:style>
  <w:style w:type="paragraph" w:customStyle="1" w:styleId="R-Employment-firstpart">
    <w:name w:val="R-Employment-firstpart"/>
    <w:basedOn w:val="Normal"/>
    <w:rsid w:val="00E369C9"/>
    <w:pPr>
      <w:keepNext/>
      <w:keepLines/>
      <w:spacing w:after="120"/>
      <w:ind w:left="720" w:hanging="720"/>
    </w:pPr>
  </w:style>
  <w:style w:type="paragraph" w:customStyle="1" w:styleId="R-Text">
    <w:name w:val="R-Text"/>
    <w:basedOn w:val="Normal"/>
    <w:rsid w:val="00E369C9"/>
    <w:pPr>
      <w:spacing w:after="120"/>
    </w:pPr>
  </w:style>
  <w:style w:type="paragraph" w:customStyle="1" w:styleId="R-Pubs-Pres">
    <w:name w:val="R-Pubs-Pres"/>
    <w:basedOn w:val="Normal"/>
    <w:link w:val="R-Pubs-PresChar"/>
    <w:rsid w:val="00E369C9"/>
    <w:pPr>
      <w:keepLines/>
      <w:spacing w:after="120"/>
      <w:ind w:left="446" w:hanging="446"/>
    </w:pPr>
  </w:style>
  <w:style w:type="paragraph" w:customStyle="1" w:styleId="R-Headerpg2">
    <w:name w:val="R-Headerpg2"/>
    <w:basedOn w:val="Normal"/>
    <w:rsid w:val="00E369C9"/>
    <w:pPr>
      <w:pBdr>
        <w:bottom w:val="single" w:sz="12" w:space="1" w:color="0A357E"/>
      </w:pBdr>
      <w:tabs>
        <w:tab w:val="right" w:pos="9360"/>
      </w:tabs>
      <w:jc w:val="right"/>
    </w:pPr>
    <w:rPr>
      <w:rFonts w:ascii="Arial" w:hAnsi="Arial" w:cs="Arial Bold"/>
      <w:b/>
      <w:caps/>
      <w:color w:val="0A357E"/>
    </w:rPr>
  </w:style>
  <w:style w:type="paragraph" w:customStyle="1" w:styleId="R-footer">
    <w:name w:val="R-footer"/>
    <w:basedOn w:val="R-Text"/>
    <w:rsid w:val="00E369C9"/>
    <w:pPr>
      <w:pBdr>
        <w:bottom w:val="single" w:sz="12" w:space="1" w:color="0A357E"/>
      </w:pBdr>
      <w:spacing w:after="0"/>
    </w:pPr>
  </w:style>
  <w:style w:type="paragraph" w:customStyle="1" w:styleId="R-Employment-secondpart">
    <w:name w:val="R-Employment-secondpart"/>
    <w:basedOn w:val="R-Employment-firstpart"/>
    <w:rsid w:val="00E369C9"/>
    <w:pPr>
      <w:keepNext w:val="0"/>
      <w:keepLines w:val="0"/>
      <w:ind w:firstLine="0"/>
    </w:pPr>
  </w:style>
  <w:style w:type="paragraph" w:customStyle="1" w:styleId="Name">
    <w:name w:val="Name"/>
    <w:link w:val="NameChar"/>
    <w:qFormat/>
    <w:rsid w:val="00E369C9"/>
    <w:pPr>
      <w:keepLines/>
      <w:pBdr>
        <w:left w:val="single" w:sz="48" w:space="4" w:color="0A357E"/>
        <w:bottom w:val="single" w:sz="12" w:space="4" w:color="0A357E"/>
      </w:pBdr>
      <w:spacing w:before="240" w:after="240"/>
      <w:outlineLvl w:val="0"/>
    </w:pPr>
    <w:rPr>
      <w:rFonts w:ascii="Arial" w:hAnsi="Arial"/>
      <w:b/>
      <w:caps/>
      <w:color w:val="0A357E"/>
      <w:sz w:val="32"/>
      <w:szCs w:val="36"/>
    </w:rPr>
  </w:style>
  <w:style w:type="paragraph" w:customStyle="1" w:styleId="Default">
    <w:name w:val="Default"/>
    <w:rsid w:val="00E369C9"/>
    <w:pPr>
      <w:autoSpaceDE w:val="0"/>
      <w:autoSpaceDN w:val="0"/>
      <w:adjustRightInd w:val="0"/>
    </w:pPr>
    <w:rPr>
      <w:color w:val="000000"/>
      <w:sz w:val="24"/>
      <w:szCs w:val="24"/>
    </w:rPr>
  </w:style>
  <w:style w:type="character" w:styleId="Hyperlink">
    <w:name w:val="Hyperlink"/>
    <w:basedOn w:val="DefaultParagraphFont"/>
    <w:rsid w:val="00E369C9"/>
    <w:rPr>
      <w:color w:val="0053CC"/>
      <w:u w:val="single"/>
    </w:rPr>
  </w:style>
  <w:style w:type="character" w:customStyle="1" w:styleId="R-Pubs-PresChar">
    <w:name w:val="R-Pubs-Pres Char"/>
    <w:link w:val="R-Pubs-Pres"/>
    <w:rsid w:val="00E369C9"/>
    <w:rPr>
      <w:sz w:val="22"/>
    </w:rPr>
  </w:style>
  <w:style w:type="paragraph" w:customStyle="1" w:styleId="tech-exp-head">
    <w:name w:val="tech-exp-head"/>
    <w:basedOn w:val="Normal"/>
    <w:qFormat/>
    <w:rsid w:val="00E369C9"/>
    <w:pPr>
      <w:keepNext/>
      <w:keepLines/>
      <w:spacing w:before="360" w:after="120"/>
      <w:outlineLvl w:val="1"/>
    </w:pPr>
    <w:rPr>
      <w:rFonts w:ascii="Arial" w:eastAsia="SimSun" w:hAnsi="Arial"/>
      <w:b/>
      <w:color w:val="0A357E"/>
      <w:sz w:val="28"/>
      <w:szCs w:val="22"/>
      <w:lang w:eastAsia="zh-CN"/>
    </w:rPr>
  </w:style>
  <w:style w:type="paragraph" w:customStyle="1" w:styleId="tech-exp-text">
    <w:name w:val="tech-exp-text"/>
    <w:basedOn w:val="Normal"/>
    <w:qFormat/>
    <w:rsid w:val="00E369C9"/>
    <w:pPr>
      <w:spacing w:after="120"/>
    </w:pPr>
    <w:rPr>
      <w:rFonts w:eastAsia="SimSun"/>
      <w:szCs w:val="22"/>
      <w:lang w:eastAsia="zh-CN"/>
    </w:rPr>
  </w:style>
  <w:style w:type="character" w:customStyle="1" w:styleId="NameChar">
    <w:name w:val="Name Char"/>
    <w:basedOn w:val="DefaultParagraphFont"/>
    <w:link w:val="Name"/>
    <w:rsid w:val="007C71CF"/>
    <w:rPr>
      <w:rFonts w:ascii="Arial" w:hAnsi="Arial"/>
      <w:b/>
      <w:caps/>
      <w:color w:val="0A357E"/>
      <w:sz w:val="32"/>
      <w:szCs w:val="36"/>
    </w:rPr>
  </w:style>
  <w:style w:type="character" w:customStyle="1" w:styleId="BalloonTextChar">
    <w:name w:val="Balloon Text Char"/>
    <w:basedOn w:val="DefaultParagraphFont"/>
    <w:link w:val="BalloonText"/>
    <w:semiHidden/>
    <w:rsid w:val="009D25C7"/>
    <w:rPr>
      <w:rFonts w:ascii="Tahoma" w:hAnsi="Tahoma" w:cs="Tahoma"/>
      <w:sz w:val="16"/>
      <w:szCs w:val="16"/>
    </w:rPr>
  </w:style>
  <w:style w:type="character" w:customStyle="1" w:styleId="bibarticle">
    <w:name w:val="bib_article"/>
    <w:rsid w:val="007C71CF"/>
    <w:rPr>
      <w:bdr w:val="none" w:sz="0" w:space="0" w:color="auto"/>
      <w:shd w:val="clear" w:color="auto" w:fill="CCFFFF"/>
    </w:rPr>
  </w:style>
  <w:style w:type="character" w:customStyle="1" w:styleId="bibdoi">
    <w:name w:val="bib_doi"/>
    <w:rsid w:val="007C71CF"/>
    <w:rPr>
      <w:color w:val="0053FF"/>
      <w:bdr w:val="none" w:sz="0" w:space="0" w:color="auto"/>
      <w:shd w:val="clear" w:color="auto" w:fill="CCFFCC"/>
    </w:rPr>
  </w:style>
  <w:style w:type="character" w:customStyle="1" w:styleId="bibfname">
    <w:name w:val="bib_fname"/>
    <w:rsid w:val="007C71CF"/>
    <w:rPr>
      <w:bdr w:val="none" w:sz="0" w:space="0" w:color="auto"/>
      <w:shd w:val="clear" w:color="auto" w:fill="FFFFCC"/>
    </w:rPr>
  </w:style>
  <w:style w:type="character" w:customStyle="1" w:styleId="bibfpage">
    <w:name w:val="bib_fpage"/>
    <w:rsid w:val="007C71CF"/>
    <w:rPr>
      <w:bdr w:val="none" w:sz="0" w:space="0" w:color="auto"/>
      <w:shd w:val="clear" w:color="auto" w:fill="E6E6E6"/>
    </w:rPr>
  </w:style>
  <w:style w:type="character" w:customStyle="1" w:styleId="bibissue">
    <w:name w:val="bib_issue"/>
    <w:rsid w:val="007C71CF"/>
    <w:rPr>
      <w:bdr w:val="none" w:sz="0" w:space="0" w:color="auto"/>
      <w:shd w:val="clear" w:color="auto" w:fill="FFFFAB"/>
    </w:rPr>
  </w:style>
  <w:style w:type="character" w:customStyle="1" w:styleId="bibjournal">
    <w:name w:val="bib_journal"/>
    <w:rsid w:val="007C71CF"/>
    <w:rPr>
      <w:bdr w:val="none" w:sz="0" w:space="0" w:color="auto"/>
      <w:shd w:val="clear" w:color="auto" w:fill="F9DECF"/>
    </w:rPr>
  </w:style>
  <w:style w:type="character" w:customStyle="1" w:styleId="biblpage">
    <w:name w:val="bib_lpage"/>
    <w:rsid w:val="007C71CF"/>
    <w:rPr>
      <w:bdr w:val="none" w:sz="0" w:space="0" w:color="auto"/>
      <w:shd w:val="clear" w:color="auto" w:fill="D9D9D9"/>
    </w:rPr>
  </w:style>
  <w:style w:type="character" w:customStyle="1" w:styleId="bibsurname">
    <w:name w:val="bib_surname"/>
    <w:rsid w:val="007C71CF"/>
    <w:rPr>
      <w:bdr w:val="none" w:sz="0" w:space="0" w:color="auto"/>
      <w:shd w:val="clear" w:color="auto" w:fill="CCFF99"/>
    </w:rPr>
  </w:style>
  <w:style w:type="character" w:customStyle="1" w:styleId="bibvolume">
    <w:name w:val="bib_volume"/>
    <w:rsid w:val="007C71CF"/>
    <w:rPr>
      <w:bdr w:val="none" w:sz="0" w:space="0" w:color="auto"/>
      <w:shd w:val="clear" w:color="auto" w:fill="CCECFF"/>
    </w:rPr>
  </w:style>
  <w:style w:type="character" w:customStyle="1" w:styleId="bibyear">
    <w:name w:val="bib_year"/>
    <w:rsid w:val="007C71CF"/>
    <w:rPr>
      <w:bdr w:val="none" w:sz="0" w:space="0" w:color="auto"/>
      <w:shd w:val="clear" w:color="auto" w:fill="FFCCFF"/>
    </w:rPr>
  </w:style>
  <w:style w:type="character" w:customStyle="1" w:styleId="Heading5Char">
    <w:name w:val="Heading 5 Char"/>
    <w:link w:val="Heading5"/>
    <w:uiPriority w:val="9"/>
    <w:semiHidden/>
    <w:rsid w:val="007C71CF"/>
    <w:rPr>
      <w:rFonts w:ascii="Arial" w:eastAsia="SimSun" w:hAnsi="Arial"/>
      <w:b/>
      <w:i/>
      <w:color w:val="0A357E"/>
      <w:kern w:val="28"/>
      <w:szCs w:val="22"/>
      <w:lang w:eastAsia="zh-CN"/>
    </w:rPr>
  </w:style>
  <w:style w:type="character" w:customStyle="1" w:styleId="Heading6Char">
    <w:name w:val="Heading 6 Char"/>
    <w:link w:val="Heading6"/>
    <w:uiPriority w:val="9"/>
    <w:semiHidden/>
    <w:rsid w:val="007C71CF"/>
    <w:rPr>
      <w:rFonts w:ascii="Arial" w:eastAsia="SimSun" w:hAnsi="Arial"/>
      <w:b/>
      <w:bCs/>
      <w:color w:val="0A357E"/>
      <w:kern w:val="28"/>
      <w:szCs w:val="22"/>
      <w:lang w:eastAsia="zh-CN"/>
    </w:rPr>
  </w:style>
  <w:style w:type="character" w:customStyle="1" w:styleId="Heading7Char">
    <w:name w:val="Heading 7 Char"/>
    <w:link w:val="Heading7"/>
    <w:uiPriority w:val="9"/>
    <w:semiHidden/>
    <w:rsid w:val="007C71CF"/>
    <w:rPr>
      <w:rFonts w:ascii="Arial" w:eastAsia="MS Mincho" w:hAnsi="Arial"/>
      <w:b/>
      <w:i/>
      <w:color w:val="0A357E"/>
      <w:kern w:val="28"/>
    </w:rPr>
  </w:style>
  <w:style w:type="character" w:customStyle="1" w:styleId="FooterChar">
    <w:name w:val="Footer Char"/>
    <w:link w:val="Footer"/>
    <w:rsid w:val="007C71CF"/>
    <w:rPr>
      <w:rFonts w:ascii="Arial" w:hAnsi="Arial"/>
      <w:b/>
      <w:sz w:val="22"/>
    </w:rPr>
  </w:style>
  <w:style w:type="character" w:customStyle="1" w:styleId="HeaderChar">
    <w:name w:val="Header Char"/>
    <w:link w:val="Header"/>
    <w:rsid w:val="007C71CF"/>
    <w:rPr>
      <w:rFonts w:cs="Arial"/>
      <w:sz w:val="22"/>
      <w:szCs w:val="36"/>
    </w:rPr>
  </w:style>
  <w:style w:type="character" w:customStyle="1" w:styleId="Heading1Char">
    <w:name w:val="Heading 1 Char"/>
    <w:link w:val="Heading1"/>
    <w:rsid w:val="007C71CF"/>
    <w:rPr>
      <w:b/>
    </w:rPr>
  </w:style>
  <w:style w:type="character" w:customStyle="1" w:styleId="Heading2Char">
    <w:name w:val="Heading 2 Char"/>
    <w:link w:val="Heading2"/>
    <w:rsid w:val="007C71CF"/>
    <w:rPr>
      <w:rFonts w:ascii="Arial" w:hAnsi="Arial"/>
      <w:b/>
      <w:sz w:val="28"/>
    </w:rPr>
  </w:style>
  <w:style w:type="character" w:customStyle="1" w:styleId="Heading3Char">
    <w:name w:val="Heading 3 Char"/>
    <w:link w:val="Heading3"/>
    <w:rsid w:val="007C71CF"/>
    <w:rPr>
      <w:rFonts w:ascii="Arial" w:hAnsi="Arial" w:cs="Arial"/>
      <w:b/>
      <w:i/>
      <w:color w:val="0A357E"/>
      <w:sz w:val="22"/>
    </w:rPr>
  </w:style>
  <w:style w:type="character" w:customStyle="1" w:styleId="Heading4Char">
    <w:name w:val="Heading 4 Char"/>
    <w:link w:val="Heading4"/>
    <w:semiHidden/>
    <w:rsid w:val="007C71CF"/>
    <w:rPr>
      <w:b/>
    </w:rPr>
  </w:style>
  <w:style w:type="paragraph" w:styleId="ListBullet">
    <w:name w:val="List Bullet"/>
    <w:basedOn w:val="Normal"/>
    <w:uiPriority w:val="99"/>
    <w:semiHidden/>
    <w:unhideWhenUsed/>
    <w:rsid w:val="007C71CF"/>
    <w:pPr>
      <w:numPr>
        <w:numId w:val="19"/>
      </w:numPr>
      <w:contextualSpacing/>
    </w:pPr>
  </w:style>
  <w:style w:type="table" w:styleId="PlainTable1">
    <w:name w:val="Plain Table 1"/>
    <w:aliases w:val="SAKI_Table3"/>
    <w:basedOn w:val="TableNormal"/>
    <w:uiPriority w:val="41"/>
    <w:rsid w:val="007C71CF"/>
    <w:rPr>
      <w:rFonts w:ascii="Calibri" w:eastAsia="Calibri" w:hAnsi="Calibri"/>
      <w:sz w:val="22"/>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Pr/>
      <w:tcPr>
        <w:shd w:val="clear" w:color="auto" w:fill="00447C"/>
      </w:tc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2Horz">
      <w:tblPr/>
      <w:tcPr>
        <w:shd w:val="clear" w:color="auto" w:fill="FFE9AB"/>
      </w:tcPr>
    </w:tblStylePr>
  </w:style>
  <w:style w:type="paragraph" w:customStyle="1" w:styleId="Baseheading">
    <w:name w:val="Base_heading"/>
    <w:rsid w:val="007C71CF"/>
    <w:pPr>
      <w:keepNext/>
      <w:spacing w:before="360" w:after="120"/>
      <w:outlineLvl w:val="0"/>
    </w:pPr>
    <w:rPr>
      <w:rFonts w:ascii="Arial" w:eastAsia="SimSun" w:hAnsi="Arial"/>
      <w:b/>
      <w:color w:val="0A357E"/>
      <w:kern w:val="28"/>
      <w:sz w:val="28"/>
      <w:szCs w:val="22"/>
      <w:lang w:eastAsia="zh-CN"/>
    </w:rPr>
  </w:style>
  <w:style w:type="paragraph" w:customStyle="1" w:styleId="Basetext">
    <w:name w:val="Base_text"/>
    <w:rsid w:val="007C71CF"/>
    <w:rPr>
      <w:rFonts w:eastAsia="SimSun"/>
      <w:sz w:val="22"/>
      <w:szCs w:val="22"/>
      <w:lang w:eastAsia="zh-CN"/>
    </w:rPr>
  </w:style>
  <w:style w:type="paragraph" w:customStyle="1" w:styleId="biblio-entry">
    <w:name w:val="biblio-entry"/>
    <w:basedOn w:val="Basetext"/>
    <w:link w:val="biblio-entryChar"/>
    <w:qFormat/>
    <w:rsid w:val="007C71CF"/>
    <w:pPr>
      <w:keepLines/>
      <w:spacing w:after="120"/>
      <w:ind w:left="446" w:hanging="446"/>
    </w:pPr>
  </w:style>
  <w:style w:type="paragraph" w:styleId="CommentText">
    <w:name w:val="annotation text"/>
    <w:basedOn w:val="Normal"/>
    <w:link w:val="CommentTextChar"/>
    <w:rsid w:val="007C71CF"/>
  </w:style>
  <w:style w:type="character" w:customStyle="1" w:styleId="CommentTextChar">
    <w:name w:val="Comment Text Char"/>
    <w:link w:val="CommentText"/>
    <w:rsid w:val="007C71CF"/>
    <w:rPr>
      <w:rFonts w:eastAsia="SimSun"/>
      <w:sz w:val="22"/>
      <w:szCs w:val="22"/>
      <w:lang w:eastAsia="zh-CN"/>
    </w:rPr>
  </w:style>
  <w:style w:type="character" w:styleId="CommentReference">
    <w:name w:val="annotation reference"/>
    <w:rsid w:val="007C71CF"/>
    <w:rPr>
      <w:sz w:val="16"/>
      <w:szCs w:val="16"/>
    </w:rPr>
  </w:style>
  <w:style w:type="paragraph" w:styleId="EndnoteText">
    <w:name w:val="endnote text"/>
    <w:basedOn w:val="Normal"/>
    <w:link w:val="EndnoteTextChar"/>
    <w:semiHidden/>
    <w:rsid w:val="007C71CF"/>
  </w:style>
  <w:style w:type="character" w:customStyle="1" w:styleId="EndnoteTextChar">
    <w:name w:val="Endnote Text Char"/>
    <w:link w:val="EndnoteText"/>
    <w:semiHidden/>
    <w:rsid w:val="007C71CF"/>
    <w:rPr>
      <w:sz w:val="22"/>
    </w:rPr>
  </w:style>
  <w:style w:type="paragraph" w:styleId="Revision">
    <w:name w:val="Revision"/>
    <w:hidden/>
    <w:uiPriority w:val="99"/>
    <w:semiHidden/>
    <w:rsid w:val="007C71CF"/>
    <w:rPr>
      <w:rFonts w:eastAsia="SimSun"/>
      <w:sz w:val="22"/>
      <w:szCs w:val="22"/>
      <w:lang w:eastAsia="zh-CN"/>
    </w:rPr>
  </w:style>
  <w:style w:type="character" w:customStyle="1" w:styleId="biblio-entryChar">
    <w:name w:val="biblio-entry Char"/>
    <w:basedOn w:val="DefaultParagraphFont"/>
    <w:link w:val="biblio-entry"/>
    <w:rsid w:val="00A61A0D"/>
    <w:rPr>
      <w:rFonts w:eastAsia="SimSun"/>
      <w:sz w:val="22"/>
      <w:szCs w:val="22"/>
      <w:lang w:eastAsia="zh-CN"/>
    </w:rPr>
  </w:style>
  <w:style w:type="paragraph" w:styleId="FootnoteText">
    <w:name w:val="footnote text"/>
    <w:basedOn w:val="Normal"/>
    <w:link w:val="FootnoteTextChar"/>
    <w:semiHidden/>
    <w:unhideWhenUsed/>
    <w:rsid w:val="009D25C7"/>
    <w:rPr>
      <w:sz w:val="20"/>
    </w:rPr>
  </w:style>
  <w:style w:type="character" w:customStyle="1" w:styleId="FootnoteTextChar">
    <w:name w:val="Footnote Text Char"/>
    <w:basedOn w:val="DefaultParagraphFont"/>
    <w:link w:val="FootnoteText"/>
    <w:semiHidden/>
    <w:rsid w:val="009D25C7"/>
    <w:rPr>
      <w:rFonts w:eastAsia="SimSun"/>
      <w:lang w:eastAsia="zh-CN"/>
    </w:rPr>
  </w:style>
  <w:style w:type="character" w:customStyle="1" w:styleId="Heading8Char">
    <w:name w:val="Heading 8 Char"/>
    <w:basedOn w:val="DefaultParagraphFont"/>
    <w:link w:val="Heading8"/>
    <w:semiHidden/>
    <w:rsid w:val="009D25C7"/>
    <w:rPr>
      <w:rFonts w:asciiTheme="majorHAnsi" w:eastAsiaTheme="majorEastAsia" w:hAnsiTheme="majorHAnsi" w:cstheme="majorBidi"/>
      <w:color w:val="272727" w:themeColor="text1" w:themeTint="D8"/>
      <w:sz w:val="21"/>
      <w:szCs w:val="21"/>
      <w:lang w:eastAsia="zh-CN"/>
    </w:rPr>
  </w:style>
  <w:style w:type="character" w:customStyle="1" w:styleId="Heading9Char">
    <w:name w:val="Heading 9 Char"/>
    <w:basedOn w:val="DefaultParagraphFont"/>
    <w:link w:val="Heading9"/>
    <w:semiHidden/>
    <w:rsid w:val="009D25C7"/>
    <w:rPr>
      <w:rFonts w:asciiTheme="majorHAnsi" w:eastAsiaTheme="majorEastAsia" w:hAnsiTheme="majorHAnsi" w:cstheme="majorBidi"/>
      <w:i/>
      <w:iCs/>
      <w:color w:val="272727" w:themeColor="text1" w:themeTint="D8"/>
      <w:sz w:val="21"/>
      <w:szCs w:val="21"/>
      <w:lang w:eastAsia="zh-CN"/>
    </w:rPr>
  </w:style>
  <w:style w:type="paragraph" w:styleId="ListBullet4">
    <w:name w:val="List Bullet 4"/>
    <w:basedOn w:val="Normal"/>
    <w:semiHidden/>
    <w:unhideWhenUsed/>
    <w:rsid w:val="009D25C7"/>
    <w:pPr>
      <w:numPr>
        <w:numId w:val="24"/>
      </w:numPr>
      <w:contextualSpacing/>
    </w:pPr>
  </w:style>
  <w:style w:type="paragraph" w:styleId="ListBullet5">
    <w:name w:val="List Bullet 5"/>
    <w:basedOn w:val="Normal"/>
    <w:semiHidden/>
    <w:unhideWhenUsed/>
    <w:rsid w:val="009D25C7"/>
    <w:pPr>
      <w:numPr>
        <w:numId w:val="25"/>
      </w:numPr>
      <w:contextualSpacing/>
    </w:pPr>
  </w:style>
  <w:style w:type="paragraph" w:styleId="ListNumber2">
    <w:name w:val="List Number 2"/>
    <w:basedOn w:val="Normal"/>
    <w:semiHidden/>
    <w:unhideWhenUsed/>
    <w:rsid w:val="009D25C7"/>
    <w:pPr>
      <w:numPr>
        <w:numId w:val="26"/>
      </w:numPr>
      <w:contextualSpacing/>
    </w:pPr>
  </w:style>
  <w:style w:type="paragraph" w:styleId="ListNumber3">
    <w:name w:val="List Number 3"/>
    <w:basedOn w:val="Normal"/>
    <w:semiHidden/>
    <w:unhideWhenUsed/>
    <w:rsid w:val="009D25C7"/>
    <w:pPr>
      <w:numPr>
        <w:numId w:val="27"/>
      </w:numPr>
      <w:contextualSpacing/>
    </w:pPr>
  </w:style>
  <w:style w:type="paragraph" w:styleId="ListNumber4">
    <w:name w:val="List Number 4"/>
    <w:basedOn w:val="Normal"/>
    <w:semiHidden/>
    <w:unhideWhenUsed/>
    <w:rsid w:val="009D25C7"/>
    <w:pPr>
      <w:numPr>
        <w:numId w:val="28"/>
      </w:numPr>
      <w:contextualSpacing/>
    </w:pPr>
  </w:style>
  <w:style w:type="paragraph" w:styleId="ListNumber5">
    <w:name w:val="List Number 5"/>
    <w:basedOn w:val="Normal"/>
    <w:semiHidden/>
    <w:unhideWhenUsed/>
    <w:rsid w:val="009D25C7"/>
    <w:pPr>
      <w:numPr>
        <w:numId w:val="29"/>
      </w:numPr>
      <w:contextualSpacing/>
    </w:pPr>
  </w:style>
  <w:style w:type="paragraph" w:styleId="CommentSubject">
    <w:name w:val="annotation subject"/>
    <w:basedOn w:val="CommentText"/>
    <w:next w:val="CommentText"/>
    <w:link w:val="CommentSubjectChar"/>
    <w:uiPriority w:val="99"/>
    <w:semiHidden/>
    <w:unhideWhenUsed/>
    <w:rsid w:val="006506FB"/>
    <w:rPr>
      <w:b/>
      <w:bCs/>
      <w:sz w:val="20"/>
    </w:rPr>
  </w:style>
  <w:style w:type="character" w:customStyle="1" w:styleId="CommentSubjectChar">
    <w:name w:val="Comment Subject Char"/>
    <w:basedOn w:val="CommentTextChar"/>
    <w:link w:val="CommentSubject"/>
    <w:uiPriority w:val="99"/>
    <w:semiHidden/>
    <w:rsid w:val="006506FB"/>
    <w:rPr>
      <w:rFonts w:eastAsia="SimSun"/>
      <w:b/>
      <w:bCs/>
      <w:sz w:val="22"/>
      <w:szCs w:val="22"/>
      <w:lang w:eastAsia="zh-CN"/>
    </w:rPr>
  </w:style>
  <w:style w:type="character" w:styleId="UnresolvedMention">
    <w:name w:val="Unresolved Mention"/>
    <w:basedOn w:val="DefaultParagraphFont"/>
    <w:uiPriority w:val="99"/>
    <w:semiHidden/>
    <w:unhideWhenUsed/>
    <w:rsid w:val="0076663A"/>
    <w:rPr>
      <w:color w:val="605E5C"/>
      <w:shd w:val="clear" w:color="auto" w:fill="E1DFDD"/>
    </w:rPr>
  </w:style>
  <w:style w:type="paragraph" w:styleId="ListParagraph">
    <w:name w:val="List Paragraph"/>
    <w:basedOn w:val="Normal"/>
    <w:uiPriority w:val="34"/>
    <w:qFormat/>
    <w:rsid w:val="009D7C2D"/>
    <w:pPr>
      <w:ind w:left="720"/>
    </w:pPr>
    <w:rPr>
      <w:rFonts w:ascii="Calibri" w:eastAsiaTheme="minorHAnsi" w:hAnsi="Calibri" w:cs="Calibri"/>
      <w:szCs w:val="22"/>
    </w:rPr>
  </w:style>
  <w:style w:type="character" w:styleId="FollowedHyperlink">
    <w:name w:val="FollowedHyperlink"/>
    <w:basedOn w:val="DefaultParagraphFont"/>
    <w:uiPriority w:val="99"/>
    <w:semiHidden/>
    <w:unhideWhenUsed/>
    <w:rsid w:val="003747A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1783306">
      <w:bodyDiv w:val="1"/>
      <w:marLeft w:val="0"/>
      <w:marRight w:val="0"/>
      <w:marTop w:val="0"/>
      <w:marBottom w:val="0"/>
      <w:divBdr>
        <w:top w:val="none" w:sz="0" w:space="0" w:color="auto"/>
        <w:left w:val="none" w:sz="0" w:space="0" w:color="auto"/>
        <w:bottom w:val="none" w:sz="0" w:space="0" w:color="auto"/>
        <w:right w:val="none" w:sz="0" w:space="0" w:color="auto"/>
      </w:divBdr>
      <w:divsChild>
        <w:div w:id="316960811">
          <w:marLeft w:val="0"/>
          <w:marRight w:val="0"/>
          <w:marTop w:val="0"/>
          <w:marBottom w:val="0"/>
          <w:divBdr>
            <w:top w:val="none" w:sz="0" w:space="0" w:color="auto"/>
            <w:left w:val="none" w:sz="0" w:space="0" w:color="auto"/>
            <w:bottom w:val="none" w:sz="0" w:space="0" w:color="auto"/>
            <w:right w:val="none" w:sz="0" w:space="0" w:color="auto"/>
          </w:divBdr>
          <w:divsChild>
            <w:div w:id="1100028313">
              <w:marLeft w:val="0"/>
              <w:marRight w:val="0"/>
              <w:marTop w:val="0"/>
              <w:marBottom w:val="0"/>
              <w:divBdr>
                <w:top w:val="none" w:sz="0" w:space="0" w:color="auto"/>
                <w:left w:val="none" w:sz="0" w:space="0" w:color="auto"/>
                <w:bottom w:val="none" w:sz="0" w:space="0" w:color="auto"/>
                <w:right w:val="none" w:sz="0" w:space="0" w:color="auto"/>
              </w:divBdr>
              <w:divsChild>
                <w:div w:id="1431580824">
                  <w:marLeft w:val="0"/>
                  <w:marRight w:val="0"/>
                  <w:marTop w:val="0"/>
                  <w:marBottom w:val="0"/>
                  <w:divBdr>
                    <w:top w:val="none" w:sz="0" w:space="0" w:color="auto"/>
                    <w:left w:val="none" w:sz="0" w:space="0" w:color="auto"/>
                    <w:bottom w:val="none" w:sz="0" w:space="0" w:color="auto"/>
                    <w:right w:val="none" w:sz="0" w:space="0" w:color="auto"/>
                  </w:divBdr>
                  <w:divsChild>
                    <w:div w:id="1292249356">
                      <w:marLeft w:val="0"/>
                      <w:marRight w:val="0"/>
                      <w:marTop w:val="0"/>
                      <w:marBottom w:val="0"/>
                      <w:divBdr>
                        <w:top w:val="none" w:sz="0" w:space="0" w:color="auto"/>
                        <w:left w:val="none" w:sz="0" w:space="0" w:color="auto"/>
                        <w:bottom w:val="none" w:sz="0" w:space="0" w:color="auto"/>
                        <w:right w:val="none" w:sz="0" w:space="0" w:color="auto"/>
                      </w:divBdr>
                      <w:divsChild>
                        <w:div w:id="1455558656">
                          <w:marLeft w:val="0"/>
                          <w:marRight w:val="0"/>
                          <w:marTop w:val="0"/>
                          <w:marBottom w:val="0"/>
                          <w:divBdr>
                            <w:top w:val="none" w:sz="0" w:space="0" w:color="auto"/>
                            <w:left w:val="none" w:sz="0" w:space="0" w:color="auto"/>
                            <w:bottom w:val="none" w:sz="0" w:space="0" w:color="auto"/>
                            <w:right w:val="none" w:sz="0" w:space="0" w:color="auto"/>
                          </w:divBdr>
                          <w:divsChild>
                            <w:div w:id="834421580">
                              <w:marLeft w:val="0"/>
                              <w:marRight w:val="0"/>
                              <w:marTop w:val="0"/>
                              <w:marBottom w:val="0"/>
                              <w:divBdr>
                                <w:top w:val="single" w:sz="6" w:space="0" w:color="CCCCCC"/>
                                <w:left w:val="single" w:sz="2" w:space="0" w:color="CCCCCC"/>
                                <w:bottom w:val="single" w:sz="2" w:space="0" w:color="CCCCCC"/>
                                <w:right w:val="single" w:sz="2" w:space="0" w:color="CCCCCC"/>
                              </w:divBdr>
                              <w:divsChild>
                                <w:div w:id="1068112282">
                                  <w:marLeft w:val="0"/>
                                  <w:marRight w:val="0"/>
                                  <w:marTop w:val="0"/>
                                  <w:marBottom w:val="0"/>
                                  <w:divBdr>
                                    <w:top w:val="none" w:sz="0" w:space="0" w:color="auto"/>
                                    <w:left w:val="none" w:sz="0" w:space="0" w:color="auto"/>
                                    <w:bottom w:val="none" w:sz="0" w:space="0" w:color="auto"/>
                                    <w:right w:val="none" w:sz="0" w:space="0" w:color="auto"/>
                                  </w:divBdr>
                                  <w:divsChild>
                                    <w:div w:id="151333923">
                                      <w:marLeft w:val="0"/>
                                      <w:marRight w:val="0"/>
                                      <w:marTop w:val="0"/>
                                      <w:marBottom w:val="0"/>
                                      <w:divBdr>
                                        <w:top w:val="none" w:sz="0" w:space="0" w:color="auto"/>
                                        <w:left w:val="none" w:sz="0" w:space="0" w:color="auto"/>
                                        <w:bottom w:val="none" w:sz="0" w:space="0" w:color="auto"/>
                                        <w:right w:val="none" w:sz="0" w:space="0" w:color="auto"/>
                                      </w:divBdr>
                                      <w:divsChild>
                                        <w:div w:id="119422914">
                                          <w:marLeft w:val="0"/>
                                          <w:marRight w:val="0"/>
                                          <w:marTop w:val="0"/>
                                          <w:marBottom w:val="0"/>
                                          <w:divBdr>
                                            <w:top w:val="none" w:sz="0" w:space="0" w:color="auto"/>
                                            <w:left w:val="none" w:sz="0" w:space="0" w:color="auto"/>
                                            <w:bottom w:val="none" w:sz="0" w:space="0" w:color="auto"/>
                                            <w:right w:val="none" w:sz="0" w:space="0" w:color="auto"/>
                                          </w:divBdr>
                                          <w:divsChild>
                                            <w:div w:id="502206735">
                                              <w:marLeft w:val="0"/>
                                              <w:marRight w:val="0"/>
                                              <w:marTop w:val="0"/>
                                              <w:marBottom w:val="0"/>
                                              <w:divBdr>
                                                <w:top w:val="none" w:sz="0" w:space="0" w:color="auto"/>
                                                <w:left w:val="none" w:sz="0" w:space="0" w:color="auto"/>
                                                <w:bottom w:val="none" w:sz="0" w:space="0" w:color="auto"/>
                                                <w:right w:val="none" w:sz="0" w:space="0" w:color="auto"/>
                                              </w:divBdr>
                                              <w:divsChild>
                                                <w:div w:id="976490047">
                                                  <w:marLeft w:val="0"/>
                                                  <w:marRight w:val="0"/>
                                                  <w:marTop w:val="0"/>
                                                  <w:marBottom w:val="0"/>
                                                  <w:divBdr>
                                                    <w:top w:val="none" w:sz="0" w:space="0" w:color="auto"/>
                                                    <w:left w:val="none" w:sz="0" w:space="0" w:color="auto"/>
                                                    <w:bottom w:val="none" w:sz="0" w:space="0" w:color="auto"/>
                                                    <w:right w:val="none" w:sz="0" w:space="0" w:color="auto"/>
                                                  </w:divBdr>
                                                  <w:divsChild>
                                                    <w:div w:id="1906645479">
                                                      <w:marLeft w:val="0"/>
                                                      <w:marRight w:val="0"/>
                                                      <w:marTop w:val="0"/>
                                                      <w:marBottom w:val="0"/>
                                                      <w:divBdr>
                                                        <w:top w:val="none" w:sz="0" w:space="0" w:color="auto"/>
                                                        <w:left w:val="none" w:sz="0" w:space="0" w:color="auto"/>
                                                        <w:bottom w:val="none" w:sz="0" w:space="0" w:color="auto"/>
                                                        <w:right w:val="none" w:sz="0" w:space="0" w:color="auto"/>
                                                      </w:divBdr>
                                                      <w:divsChild>
                                                        <w:div w:id="778111200">
                                                          <w:marLeft w:val="0"/>
                                                          <w:marRight w:val="0"/>
                                                          <w:marTop w:val="0"/>
                                                          <w:marBottom w:val="0"/>
                                                          <w:divBdr>
                                                            <w:top w:val="none" w:sz="0" w:space="0" w:color="auto"/>
                                                            <w:left w:val="none" w:sz="0" w:space="0" w:color="auto"/>
                                                            <w:bottom w:val="none" w:sz="0" w:space="0" w:color="auto"/>
                                                            <w:right w:val="none" w:sz="0" w:space="0" w:color="auto"/>
                                                          </w:divBdr>
                                                          <w:divsChild>
                                                            <w:div w:id="935595837">
                                                              <w:marLeft w:val="0"/>
                                                              <w:marRight w:val="0"/>
                                                              <w:marTop w:val="0"/>
                                                              <w:marBottom w:val="0"/>
                                                              <w:divBdr>
                                                                <w:top w:val="none" w:sz="0" w:space="0" w:color="auto"/>
                                                                <w:left w:val="none" w:sz="0" w:space="0" w:color="auto"/>
                                                                <w:bottom w:val="none" w:sz="0" w:space="0" w:color="auto"/>
                                                                <w:right w:val="none" w:sz="0" w:space="0" w:color="auto"/>
                                                              </w:divBdr>
                                                              <w:divsChild>
                                                                <w:div w:id="623192895">
                                                                  <w:marLeft w:val="0"/>
                                                                  <w:marRight w:val="0"/>
                                                                  <w:marTop w:val="0"/>
                                                                  <w:marBottom w:val="240"/>
                                                                  <w:divBdr>
                                                                    <w:top w:val="none" w:sz="0" w:space="0" w:color="auto"/>
                                                                    <w:left w:val="none" w:sz="0" w:space="0" w:color="auto"/>
                                                                    <w:bottom w:val="none" w:sz="0" w:space="0" w:color="auto"/>
                                                                    <w:right w:val="none" w:sz="0" w:space="0" w:color="auto"/>
                                                                  </w:divBdr>
                                                                  <w:divsChild>
                                                                    <w:div w:id="182327562">
                                                                      <w:marLeft w:val="0"/>
                                                                      <w:marRight w:val="0"/>
                                                                      <w:marTop w:val="0"/>
                                                                      <w:marBottom w:val="0"/>
                                                                      <w:divBdr>
                                                                        <w:top w:val="none" w:sz="0" w:space="0" w:color="auto"/>
                                                                        <w:left w:val="none" w:sz="0" w:space="0" w:color="auto"/>
                                                                        <w:bottom w:val="none" w:sz="0" w:space="0" w:color="auto"/>
                                                                        <w:right w:val="none" w:sz="0" w:space="0" w:color="auto"/>
                                                                      </w:divBdr>
                                                                    </w:div>
                                                                    <w:div w:id="135299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01930212">
      <w:bodyDiv w:val="1"/>
      <w:marLeft w:val="0"/>
      <w:marRight w:val="0"/>
      <w:marTop w:val="0"/>
      <w:marBottom w:val="0"/>
      <w:divBdr>
        <w:top w:val="none" w:sz="0" w:space="0" w:color="auto"/>
        <w:left w:val="none" w:sz="0" w:space="0" w:color="auto"/>
        <w:bottom w:val="none" w:sz="0" w:space="0" w:color="auto"/>
        <w:right w:val="none" w:sz="0" w:space="0" w:color="auto"/>
      </w:divBdr>
    </w:div>
    <w:div w:id="1674143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doi.org/10.1108/PIJPSM-02-2021-0025" TargetMode="External"/><Relationship Id="rId18" Type="http://schemas.openxmlformats.org/officeDocument/2006/relationships/hyperlink" Target="https://doi.org/10.1177%2F1098611118796597" TargetMode="External"/><Relationship Id="rId26" Type="http://schemas.openxmlformats.org/officeDocument/2006/relationships/hyperlink" Target="https://www.nptelegraph.com/opinion/editorials/in-fees-we-trust-are-court-fees-fair/article_6ba3d248-8509-11e6-9cb0-839a8e3c2d3f.html" TargetMode="External"/><Relationship Id="rId3" Type="http://schemas.openxmlformats.org/officeDocument/2006/relationships/customXml" Target="../customXml/item3.xml"/><Relationship Id="rId21" Type="http://schemas.openxmlformats.org/officeDocument/2006/relationships/hyperlink" Target="https://bjs.ojp.gov/content/pub/pdf/iceunibrsd.pdf" TargetMode="External"/><Relationship Id="rId7" Type="http://schemas.openxmlformats.org/officeDocument/2006/relationships/webSettings" Target="webSettings.xml"/><Relationship Id="rId12" Type="http://schemas.openxmlformats.org/officeDocument/2006/relationships/hyperlink" Target="https://doi.org/10.1080/15614263.2021.2022480" TargetMode="External"/><Relationship Id="rId17" Type="http://schemas.openxmlformats.org/officeDocument/2006/relationships/hyperlink" Target="https://doi.org/10.1111/1745-9133.12449" TargetMode="External"/><Relationship Id="rId25" Type="http://schemas.openxmlformats.org/officeDocument/2006/relationships/hyperlink" Target="https://www.kearneyhub.com/opinions/kearneyview/fees-feed-m-retirement-fund-for-nebraska-s-judges/article_62f1e432-8725-11e6-9612-4be4b4d67888.html" TargetMode="External"/><Relationship Id="rId2" Type="http://schemas.openxmlformats.org/officeDocument/2006/relationships/customXml" Target="../customXml/item2.xml"/><Relationship Id="rId16" Type="http://schemas.openxmlformats.org/officeDocument/2006/relationships/hyperlink" Target="https://doi.org/10.1080/23774657.2019.1602488" TargetMode="External"/><Relationship Id="rId20" Type="http://schemas.openxmlformats.org/officeDocument/2006/relationships/hyperlink" Target="https://doi.org/10.3109/16066359.2013.868445"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1080/01924036.2022.2059535" TargetMode="External"/><Relationship Id="rId24" Type="http://schemas.openxmlformats.org/officeDocument/2006/relationships/hyperlink" Target="https://www.kearneyhub.com/opinions/ltte/death-penalty-cost-m/article_e6659cec-9d27-11e6-93a9-d3701385bb63.html"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doi.org/10.1016/j.jcrimjus.2020.101746" TargetMode="External"/><Relationship Id="rId23" Type="http://schemas.openxmlformats.org/officeDocument/2006/relationships/hyperlink" Target="https://thehill.com/blogs/congress-blog/3272375-expanding-victim-services-to-improve-witness-protection-and-shooting-investigations/" TargetMode="External"/><Relationship Id="rId28" Type="http://schemas.openxmlformats.org/officeDocument/2006/relationships/footer" Target="footer1.xml"/><Relationship Id="rId10" Type="http://schemas.openxmlformats.org/officeDocument/2006/relationships/hyperlink" Target="https://doi.org/10.1177/10986111231182728" TargetMode="External"/><Relationship Id="rId19" Type="http://schemas.openxmlformats.org/officeDocument/2006/relationships/hyperlink" Target="https://doi.org/10.7758/rsf.2017.3.5.05" TargetMode="External"/><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doi.org/10.1108/PIJPSM-03-2021-0051" TargetMode="External"/><Relationship Id="rId22" Type="http://schemas.openxmlformats.org/officeDocument/2006/relationships/hyperlink" Target="https://doi.org/10.1108/PIJPSM-08-2021-198" TargetMode="External"/><Relationship Id="rId27" Type="http://schemas.openxmlformats.org/officeDocument/2006/relationships/header" Target="header1.xml"/><Relationship Id="rId3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I:\Templates\Resume_RTI.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B25EB2D65D7D74FA2CDC11D83296937" ma:contentTypeVersion="11" ma:contentTypeDescription="Create a new document." ma:contentTypeScope="" ma:versionID="d8719eb44abb590b51ca79383ce40a0e">
  <xsd:schema xmlns:xsd="http://www.w3.org/2001/XMLSchema" xmlns:xs="http://www.w3.org/2001/XMLSchema" xmlns:p="http://schemas.microsoft.com/office/2006/metadata/properties" xmlns:ns2="fbc1f920-5f19-400a-8ccb-a98fb130d068" xmlns:ns3="d3f983e0-dba2-4c65-977a-a2e43895dd32" targetNamespace="http://schemas.microsoft.com/office/2006/metadata/properties" ma:root="true" ma:fieldsID="d37de21d4c1506affffeb5b8f9127a92" ns2:_="" ns3:_="">
    <xsd:import namespace="fbc1f920-5f19-400a-8ccb-a98fb130d068"/>
    <xsd:import namespace="d3f983e0-dba2-4c65-977a-a2e43895dd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c1f920-5f19-400a-8ccb-a98fb130d0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3b40f3a-84d0-4acf-ad34-a39173ff9cc9"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f983e0-dba2-4c65-977a-a2e43895dd32"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6cbb955-3047-452a-a751-def6dd33f58e}" ma:internalName="TaxCatchAll" ma:showField="CatchAllData" ma:web="d3f983e0-dba2-4c65-977a-a2e43895dd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c1f920-5f19-400a-8ccb-a98fb130d068">
      <Terms xmlns="http://schemas.microsoft.com/office/infopath/2007/PartnerControls"/>
    </lcf76f155ced4ddcb4097134ff3c332f>
    <TaxCatchAll xmlns="d3f983e0-dba2-4c65-977a-a2e43895dd32" xsi:nil="true"/>
  </documentManagement>
</p:properties>
</file>

<file path=customXml/itemProps1.xml><?xml version="1.0" encoding="utf-8"?>
<ds:datastoreItem xmlns:ds="http://schemas.openxmlformats.org/officeDocument/2006/customXml" ds:itemID="{8AF59D35-A473-478A-A16D-2EBD461351DF}">
  <ds:schemaRefs>
    <ds:schemaRef ds:uri="http://schemas.microsoft.com/sharepoint/v3/contenttype/forms"/>
  </ds:schemaRefs>
</ds:datastoreItem>
</file>

<file path=customXml/itemProps2.xml><?xml version="1.0" encoding="utf-8"?>
<ds:datastoreItem xmlns:ds="http://schemas.openxmlformats.org/officeDocument/2006/customXml" ds:itemID="{5BC54E37-11CD-4136-96B9-0A5C63953D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c1f920-5f19-400a-8ccb-a98fb130d068"/>
    <ds:schemaRef ds:uri="d3f983e0-dba2-4c65-977a-a2e43895dd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8FED63-1E05-4892-BDD5-9982496C499E}">
  <ds:schemaRefs>
    <ds:schemaRef ds:uri="http://schemas.microsoft.com/office/2006/metadata/properties"/>
    <ds:schemaRef ds:uri="http://schemas.microsoft.com/office/infopath/2007/PartnerControls"/>
    <ds:schemaRef ds:uri="fbc1f920-5f19-400a-8ccb-a98fb130d068"/>
    <ds:schemaRef ds:uri="d3f983e0-dba2-4c65-977a-a2e43895dd32"/>
  </ds:schemaRefs>
</ds:datastoreItem>
</file>

<file path=docProps/app.xml><?xml version="1.0" encoding="utf-8"?>
<Properties xmlns="http://schemas.openxmlformats.org/officeDocument/2006/extended-properties" xmlns:vt="http://schemas.openxmlformats.org/officeDocument/2006/docPropsVTypes">
  <Template>Resume_RTI</Template>
  <TotalTime>9</TotalTime>
  <Pages>6</Pages>
  <Words>2633</Words>
  <Characters>15013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SCOTT_THOMAS</vt:lpstr>
    </vt:vector>
  </TitlesOfParts>
  <Company>RTI International</Company>
  <LinksUpToDate>false</LinksUpToDate>
  <CharactersWithSpaces>17611</CharactersWithSpaces>
  <SharedDoc>false</SharedDoc>
  <HLinks>
    <vt:vector size="96" baseType="variant">
      <vt:variant>
        <vt:i4>7536731</vt:i4>
      </vt:variant>
      <vt:variant>
        <vt:i4>45</vt:i4>
      </vt:variant>
      <vt:variant>
        <vt:i4>0</vt:i4>
      </vt:variant>
      <vt:variant>
        <vt:i4>5</vt:i4>
      </vt:variant>
      <vt:variant>
        <vt:lpwstr>https://www.nptelegraph.com/opinion/editorials/in-fees-we-trust-are-court-fees-fair/article_6ba3d248-8509-11e6-9cb0-839a8e3c2d3f.html</vt:lpwstr>
      </vt:variant>
      <vt:variant>
        <vt:lpwstr/>
      </vt:variant>
      <vt:variant>
        <vt:i4>2031736</vt:i4>
      </vt:variant>
      <vt:variant>
        <vt:i4>42</vt:i4>
      </vt:variant>
      <vt:variant>
        <vt:i4>0</vt:i4>
      </vt:variant>
      <vt:variant>
        <vt:i4>5</vt:i4>
      </vt:variant>
      <vt:variant>
        <vt:lpwstr>https://www.kearneyhub.com/opinions/kearneyview/fees-feed-m-retirement-fund-for-nebraska-s-judges/article_62f1e432-8725-11e6-9612-4be4b4d67888.html</vt:lpwstr>
      </vt:variant>
      <vt:variant>
        <vt:lpwstr/>
      </vt:variant>
      <vt:variant>
        <vt:i4>5963809</vt:i4>
      </vt:variant>
      <vt:variant>
        <vt:i4>39</vt:i4>
      </vt:variant>
      <vt:variant>
        <vt:i4>0</vt:i4>
      </vt:variant>
      <vt:variant>
        <vt:i4>5</vt:i4>
      </vt:variant>
      <vt:variant>
        <vt:lpwstr>https://www.kearneyhub.com/opinions/ltte/death-penalty-cost-m/article_e6659cec-9d27-11e6-93a9-d3701385bb63.html</vt:lpwstr>
      </vt:variant>
      <vt:variant>
        <vt:lpwstr/>
      </vt:variant>
      <vt:variant>
        <vt:i4>6029395</vt:i4>
      </vt:variant>
      <vt:variant>
        <vt:i4>36</vt:i4>
      </vt:variant>
      <vt:variant>
        <vt:i4>0</vt:i4>
      </vt:variant>
      <vt:variant>
        <vt:i4>5</vt:i4>
      </vt:variant>
      <vt:variant>
        <vt:lpwstr>https://thehill.com/blogs/congress-blog/3272375-expanding-victim-services-to-improve-witness-protection-and-shooting-investigations/</vt:lpwstr>
      </vt:variant>
      <vt:variant>
        <vt:lpwstr/>
      </vt:variant>
      <vt:variant>
        <vt:i4>7471163</vt:i4>
      </vt:variant>
      <vt:variant>
        <vt:i4>33</vt:i4>
      </vt:variant>
      <vt:variant>
        <vt:i4>0</vt:i4>
      </vt:variant>
      <vt:variant>
        <vt:i4>5</vt:i4>
      </vt:variant>
      <vt:variant>
        <vt:lpwstr>https://doi.org/10.1108/PIJPSM-08-2021-198</vt:lpwstr>
      </vt:variant>
      <vt:variant>
        <vt:lpwstr/>
      </vt:variant>
      <vt:variant>
        <vt:i4>6619262</vt:i4>
      </vt:variant>
      <vt:variant>
        <vt:i4>30</vt:i4>
      </vt:variant>
      <vt:variant>
        <vt:i4>0</vt:i4>
      </vt:variant>
      <vt:variant>
        <vt:i4>5</vt:i4>
      </vt:variant>
      <vt:variant>
        <vt:lpwstr>https://bjs.ojp.gov/content/pub/pdf/iceunibrsd.pdf</vt:lpwstr>
      </vt:variant>
      <vt:variant>
        <vt:lpwstr/>
      </vt:variant>
      <vt:variant>
        <vt:i4>65609</vt:i4>
      </vt:variant>
      <vt:variant>
        <vt:i4>27</vt:i4>
      </vt:variant>
      <vt:variant>
        <vt:i4>0</vt:i4>
      </vt:variant>
      <vt:variant>
        <vt:i4>5</vt:i4>
      </vt:variant>
      <vt:variant>
        <vt:lpwstr>https://doi.org/10.3109/16066359.2013.868445</vt:lpwstr>
      </vt:variant>
      <vt:variant>
        <vt:lpwstr/>
      </vt:variant>
      <vt:variant>
        <vt:i4>8126572</vt:i4>
      </vt:variant>
      <vt:variant>
        <vt:i4>24</vt:i4>
      </vt:variant>
      <vt:variant>
        <vt:i4>0</vt:i4>
      </vt:variant>
      <vt:variant>
        <vt:i4>5</vt:i4>
      </vt:variant>
      <vt:variant>
        <vt:lpwstr>https://doi.org/10.7758/rsf.2017.3.5.05</vt:lpwstr>
      </vt:variant>
      <vt:variant>
        <vt:lpwstr/>
      </vt:variant>
      <vt:variant>
        <vt:i4>7536744</vt:i4>
      </vt:variant>
      <vt:variant>
        <vt:i4>21</vt:i4>
      </vt:variant>
      <vt:variant>
        <vt:i4>0</vt:i4>
      </vt:variant>
      <vt:variant>
        <vt:i4>5</vt:i4>
      </vt:variant>
      <vt:variant>
        <vt:lpwstr>https://doi.org/10.1177%2F1098611118796597</vt:lpwstr>
      </vt:variant>
      <vt:variant>
        <vt:lpwstr/>
      </vt:variant>
      <vt:variant>
        <vt:i4>3276917</vt:i4>
      </vt:variant>
      <vt:variant>
        <vt:i4>18</vt:i4>
      </vt:variant>
      <vt:variant>
        <vt:i4>0</vt:i4>
      </vt:variant>
      <vt:variant>
        <vt:i4>5</vt:i4>
      </vt:variant>
      <vt:variant>
        <vt:lpwstr>https://doi.org/10.1111/1745-9133.12449</vt:lpwstr>
      </vt:variant>
      <vt:variant>
        <vt:lpwstr/>
      </vt:variant>
      <vt:variant>
        <vt:i4>983116</vt:i4>
      </vt:variant>
      <vt:variant>
        <vt:i4>15</vt:i4>
      </vt:variant>
      <vt:variant>
        <vt:i4>0</vt:i4>
      </vt:variant>
      <vt:variant>
        <vt:i4>5</vt:i4>
      </vt:variant>
      <vt:variant>
        <vt:lpwstr>https://doi.org/10.1080/23774657.2019.1602488</vt:lpwstr>
      </vt:variant>
      <vt:variant>
        <vt:lpwstr/>
      </vt:variant>
      <vt:variant>
        <vt:i4>3145772</vt:i4>
      </vt:variant>
      <vt:variant>
        <vt:i4>12</vt:i4>
      </vt:variant>
      <vt:variant>
        <vt:i4>0</vt:i4>
      </vt:variant>
      <vt:variant>
        <vt:i4>5</vt:i4>
      </vt:variant>
      <vt:variant>
        <vt:lpwstr>https://doi.org/10.1016/j.jcrimjus.2020.101746</vt:lpwstr>
      </vt:variant>
      <vt:variant>
        <vt:lpwstr/>
      </vt:variant>
      <vt:variant>
        <vt:i4>8257593</vt:i4>
      </vt:variant>
      <vt:variant>
        <vt:i4>9</vt:i4>
      </vt:variant>
      <vt:variant>
        <vt:i4>0</vt:i4>
      </vt:variant>
      <vt:variant>
        <vt:i4>5</vt:i4>
      </vt:variant>
      <vt:variant>
        <vt:lpwstr>https://doi.org/10.1108/PIJPSM-03-2021-0051</vt:lpwstr>
      </vt:variant>
      <vt:variant>
        <vt:lpwstr/>
      </vt:variant>
      <vt:variant>
        <vt:i4>7929912</vt:i4>
      </vt:variant>
      <vt:variant>
        <vt:i4>6</vt:i4>
      </vt:variant>
      <vt:variant>
        <vt:i4>0</vt:i4>
      </vt:variant>
      <vt:variant>
        <vt:i4>5</vt:i4>
      </vt:variant>
      <vt:variant>
        <vt:lpwstr>https://doi.org/10.1108/PIJPSM-02-2021-0025</vt:lpwstr>
      </vt:variant>
      <vt:variant>
        <vt:lpwstr/>
      </vt:variant>
      <vt:variant>
        <vt:i4>655434</vt:i4>
      </vt:variant>
      <vt:variant>
        <vt:i4>3</vt:i4>
      </vt:variant>
      <vt:variant>
        <vt:i4>0</vt:i4>
      </vt:variant>
      <vt:variant>
        <vt:i4>5</vt:i4>
      </vt:variant>
      <vt:variant>
        <vt:lpwstr>https://doi.org/10.1080/01924036.2022.2059535</vt:lpwstr>
      </vt:variant>
      <vt:variant>
        <vt:lpwstr/>
      </vt:variant>
      <vt:variant>
        <vt:i4>655428</vt:i4>
      </vt:variant>
      <vt:variant>
        <vt:i4>0</vt:i4>
      </vt:variant>
      <vt:variant>
        <vt:i4>0</vt:i4>
      </vt:variant>
      <vt:variant>
        <vt:i4>5</vt:i4>
      </vt:variant>
      <vt:variant>
        <vt:lpwstr>https://doi.org/10.1080/15614263.2021.2022480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SCOTT_THOMAS</dc:title>
  <dc:subject/>
  <dc:creator>Bohn, Loretta</dc:creator>
  <cp:keywords/>
  <cp:lastModifiedBy>Tom Scott</cp:lastModifiedBy>
  <cp:revision>3</cp:revision>
  <cp:lastPrinted>2008-02-26T22:25:00Z</cp:lastPrinted>
  <dcterms:created xsi:type="dcterms:W3CDTF">2025-09-19T01:01:00Z</dcterms:created>
  <dcterms:modified xsi:type="dcterms:W3CDTF">2025-09-19T01:02:00Z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_t">
    <vt:bool>true</vt:bool>
  </property>
  <property fmtid="{D5CDD505-2E9C-101B-9397-08002B2CF9AE}" pid="3" name="ContentTypeId">
    <vt:lpwstr>0x0101006B25EB2D65D7D74FA2CDC11D83296937</vt:lpwstr>
  </property>
  <property fmtid="{D5CDD505-2E9C-101B-9397-08002B2CF9AE}" pid="4" name="MediaServiceImageTags">
    <vt:lpwstr/>
  </property>
</Properties>
</file>